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50EC3" w14:textId="56379423" w:rsidR="008F54D1" w:rsidRPr="00EE3AF0" w:rsidRDefault="00EE3AF0" w:rsidP="008F54D1">
      <w:pPr>
        <w:shd w:val="clear" w:color="auto" w:fill="FFFFFF"/>
        <w:rPr>
          <w:rFonts w:ascii="Calibri" w:eastAsia="Times New Roman" w:hAnsi="Calibri" w:cs="Calibri"/>
          <w:color w:val="202124"/>
          <w:kern w:val="0"/>
          <w14:ligatures w14:val="none"/>
        </w:rPr>
      </w:pPr>
      <w:r w:rsidRPr="00EE3AF0">
        <w:rPr>
          <w:rFonts w:ascii="Calibri" w:eastAsia="Times New Roman" w:hAnsi="Calibri" w:cs="Calibri"/>
          <w:color w:val="202124"/>
          <w:kern w:val="0"/>
          <w14:ligatures w14:val="none"/>
        </w:rPr>
        <w:t>September 12, 2024</w:t>
      </w:r>
    </w:p>
    <w:p w14:paraId="5823FA39" w14:textId="77777777" w:rsidR="008F54D1" w:rsidRPr="008F54D1" w:rsidRDefault="008F54D1" w:rsidP="008F54D1">
      <w:pPr>
        <w:shd w:val="clear" w:color="auto" w:fill="FFFFFF"/>
        <w:rPr>
          <w:rFonts w:ascii="Calibri" w:eastAsia="Times New Roman" w:hAnsi="Calibri" w:cs="Calibri"/>
          <w:color w:val="202124"/>
          <w:kern w:val="0"/>
          <w14:ligatures w14:val="none"/>
        </w:rPr>
      </w:pPr>
    </w:p>
    <w:p w14:paraId="77433D10" w14:textId="668D6F59" w:rsidR="008F54D1" w:rsidRPr="008F54D1" w:rsidRDefault="008F54D1"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b/>
          <w:bCs/>
          <w:color w:val="202124"/>
          <w:kern w:val="0"/>
          <w14:ligatures w14:val="none"/>
        </w:rPr>
        <w:t>An open letter to the private banking sector on its role in fueling the climate crisis by</w:t>
      </w:r>
      <w:r w:rsidRPr="008D68B3">
        <w:rPr>
          <w:rFonts w:ascii="Calibri" w:eastAsia="Times New Roman" w:hAnsi="Calibri" w:cs="Calibri"/>
          <w:b/>
          <w:bCs/>
          <w:color w:val="202124"/>
          <w:kern w:val="0"/>
          <w14:ligatures w14:val="none"/>
        </w:rPr>
        <w:t xml:space="preserve"> </w:t>
      </w:r>
      <w:r w:rsidRPr="008F54D1">
        <w:rPr>
          <w:rFonts w:ascii="Calibri" w:eastAsia="Times New Roman" w:hAnsi="Calibri" w:cs="Calibri"/>
          <w:b/>
          <w:bCs/>
          <w:color w:val="202124"/>
          <w:kern w:val="0"/>
          <w14:ligatures w14:val="none"/>
        </w:rPr>
        <w:t>financing industrial livestock production </w:t>
      </w:r>
    </w:p>
    <w:p w14:paraId="698A7F47" w14:textId="77777777" w:rsidR="008F54D1" w:rsidRPr="008F54D1" w:rsidRDefault="008F54D1" w:rsidP="008F54D1">
      <w:pPr>
        <w:shd w:val="clear" w:color="auto" w:fill="FFFFFF"/>
        <w:rPr>
          <w:rFonts w:ascii="Calibri" w:eastAsia="Times New Roman" w:hAnsi="Calibri" w:cs="Calibri"/>
          <w:color w:val="202124"/>
          <w:kern w:val="0"/>
          <w14:ligatures w14:val="none"/>
        </w:rPr>
      </w:pPr>
    </w:p>
    <w:p w14:paraId="0141B95D" w14:textId="14D34A87" w:rsidR="004739A9" w:rsidRPr="008F54D1" w:rsidRDefault="008F54D1"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 xml:space="preserve">We, the undersigned </w:t>
      </w:r>
      <w:r w:rsidR="005E47A1">
        <w:rPr>
          <w:rFonts w:ascii="Calibri" w:eastAsia="Times New Roman" w:hAnsi="Calibri" w:cs="Calibri"/>
          <w:color w:val="202124"/>
          <w:kern w:val="0"/>
          <w14:ligatures w14:val="none"/>
        </w:rPr>
        <w:t xml:space="preserve">105 </w:t>
      </w:r>
      <w:r w:rsidRPr="008F54D1">
        <w:rPr>
          <w:rFonts w:ascii="Calibri" w:eastAsia="Times New Roman" w:hAnsi="Calibri" w:cs="Calibri"/>
          <w:color w:val="202124"/>
          <w:kern w:val="0"/>
          <w14:ligatures w14:val="none"/>
        </w:rPr>
        <w:t>organizations, urgently call on global private banks to address their role in</w:t>
      </w:r>
      <w:r w:rsidRPr="008D68B3">
        <w:rPr>
          <w:rFonts w:ascii="Calibri" w:eastAsia="Times New Roman" w:hAnsi="Calibri" w:cs="Calibri"/>
          <w:color w:val="202124"/>
          <w:kern w:val="0"/>
          <w14:ligatures w14:val="none"/>
        </w:rPr>
        <w:t xml:space="preserve"> </w:t>
      </w:r>
      <w:r w:rsidRPr="008F54D1">
        <w:rPr>
          <w:rFonts w:ascii="Calibri" w:eastAsia="Times New Roman" w:hAnsi="Calibri" w:cs="Calibri"/>
          <w:color w:val="202124"/>
          <w:kern w:val="0"/>
          <w14:ligatures w14:val="none"/>
        </w:rPr>
        <w:t>financing industrial livestock production. This funding accelerates climate change, drives</w:t>
      </w:r>
      <w:r w:rsidRPr="008D68B3">
        <w:rPr>
          <w:rFonts w:ascii="Calibri" w:eastAsia="Times New Roman" w:hAnsi="Calibri" w:cs="Calibri"/>
          <w:color w:val="202124"/>
          <w:kern w:val="0"/>
          <w14:ligatures w14:val="none"/>
        </w:rPr>
        <w:t xml:space="preserve"> </w:t>
      </w:r>
      <w:r w:rsidRPr="008F54D1">
        <w:rPr>
          <w:rFonts w:ascii="Calibri" w:eastAsia="Times New Roman" w:hAnsi="Calibri" w:cs="Calibri"/>
          <w:color w:val="202124"/>
          <w:kern w:val="0"/>
          <w14:ligatures w14:val="none"/>
        </w:rPr>
        <w:t>catastrophic biodiversity loss, exacerbates food insecurity,</w:t>
      </w:r>
      <w:r w:rsidR="004739A9" w:rsidRPr="008D68B3">
        <w:rPr>
          <w:rStyle w:val="EndnoteReference"/>
          <w:rFonts w:ascii="Calibri" w:eastAsia="Times New Roman" w:hAnsi="Calibri" w:cs="Calibri"/>
          <w:color w:val="202124"/>
          <w:kern w:val="0"/>
          <w14:ligatures w14:val="none"/>
        </w:rPr>
        <w:endnoteReference w:id="1"/>
      </w:r>
      <w:r w:rsidR="004739A9" w:rsidRPr="008F54D1">
        <w:rPr>
          <w:rFonts w:ascii="Calibri" w:eastAsia="Times New Roman" w:hAnsi="Calibri" w:cs="Calibri"/>
          <w:color w:val="202124"/>
          <w:kern w:val="0"/>
          <w14:ligatures w14:val="none"/>
        </w:rPr>
        <w:t xml:space="preserve"> and damages animal welfare and</w:t>
      </w:r>
      <w:r w:rsidR="004739A9" w:rsidRPr="008D68B3">
        <w:rPr>
          <w:rFonts w:ascii="Calibri" w:eastAsia="Times New Roman" w:hAnsi="Calibri" w:cs="Calibri"/>
          <w:color w:val="202124"/>
          <w:kern w:val="0"/>
          <w14:ligatures w14:val="none"/>
        </w:rPr>
        <w:t xml:space="preserve"> </w:t>
      </w:r>
      <w:r w:rsidR="004739A9" w:rsidRPr="008F54D1">
        <w:rPr>
          <w:rFonts w:ascii="Calibri" w:eastAsia="Times New Roman" w:hAnsi="Calibri" w:cs="Calibri"/>
          <w:color w:val="202124"/>
          <w:kern w:val="0"/>
          <w14:ligatures w14:val="none"/>
        </w:rPr>
        <w:t>human rights.</w:t>
      </w:r>
      <w:r w:rsidR="004739A9" w:rsidRPr="008D68B3">
        <w:rPr>
          <w:rStyle w:val="EndnoteReference"/>
          <w:rFonts w:ascii="Calibri" w:eastAsia="Times New Roman" w:hAnsi="Calibri" w:cs="Calibri"/>
          <w:color w:val="202124"/>
          <w:kern w:val="0"/>
          <w14:ligatures w14:val="none"/>
        </w:rPr>
        <w:endnoteReference w:id="2"/>
      </w:r>
      <w:r w:rsidR="004739A9" w:rsidRPr="008F54D1">
        <w:rPr>
          <w:rFonts w:ascii="Calibri" w:eastAsia="Times New Roman" w:hAnsi="Calibri" w:cs="Calibri"/>
          <w:color w:val="202124"/>
          <w:kern w:val="0"/>
          <w14:ligatures w14:val="none"/>
        </w:rPr>
        <w:t> All financial institutions involved in financing this sector must take immediate</w:t>
      </w:r>
      <w:r w:rsidR="004739A9" w:rsidRPr="008D68B3">
        <w:rPr>
          <w:rFonts w:ascii="Calibri" w:eastAsia="Times New Roman" w:hAnsi="Calibri" w:cs="Calibri"/>
          <w:color w:val="202124"/>
          <w:kern w:val="0"/>
          <w14:ligatures w14:val="none"/>
        </w:rPr>
        <w:t xml:space="preserve"> </w:t>
      </w:r>
      <w:r w:rsidR="004739A9" w:rsidRPr="008F54D1">
        <w:rPr>
          <w:rFonts w:ascii="Calibri" w:eastAsia="Times New Roman" w:hAnsi="Calibri" w:cs="Calibri"/>
          <w:color w:val="202124"/>
          <w:kern w:val="0"/>
          <w14:ligatures w14:val="none"/>
        </w:rPr>
        <w:t>and decisive action to halt their contribution to these escalating crises.</w:t>
      </w:r>
    </w:p>
    <w:p w14:paraId="5170CDD8" w14:textId="77777777" w:rsidR="004739A9" w:rsidRPr="008F54D1" w:rsidRDefault="004739A9" w:rsidP="008F54D1">
      <w:pPr>
        <w:shd w:val="clear" w:color="auto" w:fill="FFFFFF"/>
        <w:rPr>
          <w:rFonts w:ascii="Calibri" w:eastAsia="Times New Roman" w:hAnsi="Calibri" w:cs="Calibri"/>
          <w:color w:val="202124"/>
          <w:kern w:val="0"/>
          <w14:ligatures w14:val="none"/>
        </w:rPr>
      </w:pPr>
    </w:p>
    <w:p w14:paraId="6F95C5FD" w14:textId="0AA91CF0" w:rsidR="004739A9" w:rsidRPr="008F54D1" w:rsidRDefault="004739A9"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Most global food and agriculture emissions come from livestock production, and studies have</w:t>
      </w:r>
      <w:r w:rsidRPr="008D68B3">
        <w:rPr>
          <w:rFonts w:ascii="Calibri" w:eastAsia="Times New Roman" w:hAnsi="Calibri" w:cs="Calibri"/>
          <w:color w:val="202124"/>
          <w:kern w:val="0"/>
          <w14:ligatures w14:val="none"/>
        </w:rPr>
        <w:t xml:space="preserve"> </w:t>
      </w:r>
      <w:r w:rsidRPr="008F54D1">
        <w:rPr>
          <w:rFonts w:ascii="Calibri" w:eastAsia="Times New Roman" w:hAnsi="Calibri" w:cs="Calibri"/>
          <w:color w:val="202124"/>
          <w:kern w:val="0"/>
          <w14:ligatures w14:val="none"/>
        </w:rPr>
        <w:t>found that global livestock production will use </w:t>
      </w:r>
      <w:hyperlink r:id="rId8" w:history="1">
        <w:r w:rsidRPr="008F54D1">
          <w:rPr>
            <w:rStyle w:val="Hyperlink"/>
            <w:rFonts w:ascii="Calibri" w:eastAsia="Times New Roman" w:hAnsi="Calibri" w:cs="Calibri"/>
            <w:kern w:val="0"/>
            <w14:ligatures w14:val="none"/>
          </w:rPr>
          <w:t>almost half of the world’s 1.5˚C emissions</w:t>
        </w:r>
        <w:r w:rsidRPr="008D68B3">
          <w:rPr>
            <w:rStyle w:val="Hyperlink"/>
            <w:rFonts w:ascii="Calibri" w:eastAsia="Times New Roman" w:hAnsi="Calibri" w:cs="Calibri"/>
            <w:kern w:val="0"/>
            <w14:ligatures w14:val="none"/>
          </w:rPr>
          <w:t xml:space="preserve"> </w:t>
        </w:r>
        <w:r w:rsidRPr="008F54D1">
          <w:rPr>
            <w:rStyle w:val="Hyperlink"/>
            <w:rFonts w:ascii="Calibri" w:eastAsia="Times New Roman" w:hAnsi="Calibri" w:cs="Calibri"/>
            <w:kern w:val="0"/>
            <w14:ligatures w14:val="none"/>
          </w:rPr>
          <w:t>budget by 2030 and 80% by 2050</w:t>
        </w:r>
      </w:hyperlink>
      <w:r w:rsidRPr="008F54D1">
        <w:rPr>
          <w:rFonts w:ascii="Calibri" w:eastAsia="Times New Roman" w:hAnsi="Calibri" w:cs="Calibri"/>
          <w:color w:val="202124"/>
          <w:kern w:val="0"/>
          <w14:ligatures w14:val="none"/>
        </w:rPr>
        <w:t>. Industrial livestock corporations contribute substantially to this — the emissions of just the top 56</w:t>
      </w:r>
      <w:r w:rsidRPr="008D68B3">
        <w:rPr>
          <w:rStyle w:val="EndnoteReference"/>
          <w:rFonts w:ascii="Calibri" w:eastAsia="Times New Roman" w:hAnsi="Calibri" w:cs="Calibri"/>
          <w:color w:val="202124"/>
          <w:kern w:val="0"/>
          <w14:ligatures w14:val="none"/>
        </w:rPr>
        <w:endnoteReference w:id="3"/>
      </w:r>
      <w:r w:rsidRPr="008F54D1">
        <w:rPr>
          <w:rFonts w:ascii="Calibri" w:eastAsia="Times New Roman" w:hAnsi="Calibri" w:cs="Calibri"/>
          <w:color w:val="202124"/>
          <w:kern w:val="0"/>
          <w14:ligatures w14:val="none"/>
        </w:rPr>
        <w:t> global meat, dairy, and feed corporations are </w:t>
      </w:r>
      <w:hyperlink r:id="rId9" w:history="1">
        <w:r w:rsidRPr="008F54D1">
          <w:rPr>
            <w:rStyle w:val="Hyperlink"/>
            <w:rFonts w:ascii="Calibri" w:eastAsia="Times New Roman" w:hAnsi="Calibri" w:cs="Calibri"/>
            <w:kern w:val="0"/>
            <w14:ligatures w14:val="none"/>
          </w:rPr>
          <w:t>higher than those of Japan</w:t>
        </w:r>
      </w:hyperlink>
      <w:r w:rsidRPr="008F54D1">
        <w:rPr>
          <w:rFonts w:ascii="Calibri" w:eastAsia="Times New Roman" w:hAnsi="Calibri" w:cs="Calibri"/>
          <w:color w:val="202124"/>
          <w:kern w:val="0"/>
          <w14:ligatures w14:val="none"/>
        </w:rPr>
        <w:t>,</w:t>
      </w:r>
      <w:r w:rsidRPr="008D68B3">
        <w:rPr>
          <w:rStyle w:val="EndnoteReference"/>
          <w:rFonts w:ascii="Calibri" w:eastAsia="Times New Roman" w:hAnsi="Calibri" w:cs="Calibri"/>
          <w:color w:val="202124"/>
          <w:kern w:val="0"/>
          <w14:ligatures w14:val="none"/>
        </w:rPr>
        <w:endnoteReference w:id="4"/>
      </w:r>
      <w:r w:rsidRPr="008F54D1">
        <w:rPr>
          <w:rFonts w:ascii="Calibri" w:eastAsia="Times New Roman" w:hAnsi="Calibri" w:cs="Calibri"/>
          <w:color w:val="202124"/>
          <w:kern w:val="0"/>
          <w14:ligatures w14:val="none"/>
        </w:rPr>
        <w:t> the world’s eighth largest emitter. </w:t>
      </w:r>
    </w:p>
    <w:p w14:paraId="5FD95D24" w14:textId="77777777" w:rsidR="004739A9" w:rsidRPr="008F54D1" w:rsidRDefault="004739A9" w:rsidP="008F54D1">
      <w:pPr>
        <w:shd w:val="clear" w:color="auto" w:fill="FFFFFF"/>
        <w:rPr>
          <w:rFonts w:ascii="Calibri" w:eastAsia="Times New Roman" w:hAnsi="Calibri" w:cs="Calibri"/>
          <w:color w:val="202124"/>
          <w:kern w:val="0"/>
          <w14:ligatures w14:val="none"/>
        </w:rPr>
      </w:pPr>
    </w:p>
    <w:p w14:paraId="30D70D03" w14:textId="568A22FE" w:rsidR="004739A9" w:rsidRPr="008F54D1" w:rsidRDefault="004739A9"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The actual emissions are undoubtedly higher than their self-reported emissions</w:t>
      </w:r>
      <w:r w:rsidRPr="008D68B3">
        <w:rPr>
          <w:rStyle w:val="EndnoteReference"/>
          <w:rFonts w:ascii="Calibri" w:eastAsia="Times New Roman" w:hAnsi="Calibri" w:cs="Calibri"/>
          <w:color w:val="202124"/>
          <w:kern w:val="0"/>
          <w14:ligatures w14:val="none"/>
        </w:rPr>
        <w:endnoteReference w:id="5"/>
      </w:r>
      <w:r w:rsidRPr="008F54D1">
        <w:rPr>
          <w:rFonts w:ascii="Calibri" w:eastAsia="Times New Roman" w:hAnsi="Calibri" w:cs="Calibri"/>
          <w:color w:val="202124"/>
          <w:kern w:val="0"/>
          <w14:ligatures w14:val="none"/>
        </w:rPr>
        <w:t> because meat, dairy, and feed corporations’ emissions data is often underreported and Scope 3 impacts are largely undisclosed, even though they generally account for </w:t>
      </w:r>
      <w:hyperlink r:id="rId10" w:history="1">
        <w:r w:rsidRPr="008F54D1">
          <w:rPr>
            <w:rFonts w:ascii="Calibri" w:eastAsia="Times New Roman" w:hAnsi="Calibri" w:cs="Calibri"/>
            <w:b/>
            <w:bCs/>
            <w:color w:val="1155CC"/>
            <w:kern w:val="0"/>
            <w:u w:val="single"/>
            <w14:ligatures w14:val="none"/>
          </w:rPr>
          <w:t>90% or more</w:t>
        </w:r>
      </w:hyperlink>
      <w:r w:rsidRPr="008F54D1">
        <w:rPr>
          <w:rFonts w:ascii="Calibri" w:eastAsia="Times New Roman" w:hAnsi="Calibri" w:cs="Calibri"/>
          <w:color w:val="202124"/>
          <w:kern w:val="0"/>
          <w14:ligatures w14:val="none"/>
        </w:rPr>
        <w:t> of these companies’ emissions.</w:t>
      </w:r>
      <w:r w:rsidRPr="008D68B3">
        <w:rPr>
          <w:rStyle w:val="EndnoteReference"/>
          <w:rFonts w:ascii="Calibri" w:eastAsia="Times New Roman" w:hAnsi="Calibri" w:cs="Calibri"/>
          <w:color w:val="202124"/>
          <w:kern w:val="0"/>
          <w14:ligatures w14:val="none"/>
        </w:rPr>
        <w:endnoteReference w:id="6"/>
      </w:r>
      <w:r w:rsidRPr="008F54D1">
        <w:rPr>
          <w:rFonts w:ascii="Calibri" w:eastAsia="Times New Roman" w:hAnsi="Calibri" w:cs="Calibri"/>
          <w:color w:val="202124"/>
          <w:kern w:val="0"/>
          <w14:ligatures w14:val="none"/>
        </w:rPr>
        <w:t> By financing the world’s largest meat, dairy, and feed corporations, global banks are prioritizing corporate gain at the expense of people and the planet.</w:t>
      </w:r>
      <w:r w:rsidRPr="008D68B3">
        <w:rPr>
          <w:rStyle w:val="EndnoteReference"/>
          <w:rFonts w:ascii="Calibri" w:eastAsia="Times New Roman" w:hAnsi="Calibri" w:cs="Calibri"/>
          <w:color w:val="202124"/>
          <w:kern w:val="0"/>
          <w14:ligatures w14:val="none"/>
        </w:rPr>
        <w:endnoteReference w:id="7"/>
      </w:r>
    </w:p>
    <w:p w14:paraId="451B0B40" w14:textId="77777777" w:rsidR="004739A9" w:rsidRPr="008F54D1" w:rsidRDefault="004739A9" w:rsidP="008F54D1">
      <w:pPr>
        <w:shd w:val="clear" w:color="auto" w:fill="FFFFFF"/>
        <w:rPr>
          <w:rFonts w:ascii="Calibri" w:eastAsia="Times New Roman" w:hAnsi="Calibri" w:cs="Calibri"/>
          <w:color w:val="202124"/>
          <w:kern w:val="0"/>
          <w14:ligatures w14:val="none"/>
        </w:rPr>
      </w:pPr>
    </w:p>
    <w:p w14:paraId="33789D50" w14:textId="77777777" w:rsidR="004739A9" w:rsidRPr="008D68B3" w:rsidRDefault="004739A9"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 xml:space="preserve">Thus, </w:t>
      </w:r>
      <w:r w:rsidRPr="008F54D1">
        <w:rPr>
          <w:rFonts w:ascii="Calibri" w:eastAsia="Times New Roman" w:hAnsi="Calibri" w:cs="Calibri"/>
          <w:b/>
          <w:bCs/>
          <w:color w:val="202124"/>
          <w:kern w:val="0"/>
          <w14:ligatures w14:val="none"/>
        </w:rPr>
        <w:t>we call upon all banks to treat industrial livestock as a high-emitting sector — and to immediately set, publish, and implement agriculture sector-specific 1.5°C targets and action plans</w:t>
      </w:r>
      <w:r w:rsidRPr="008F54D1">
        <w:rPr>
          <w:rFonts w:ascii="Calibri" w:eastAsia="Times New Roman" w:hAnsi="Calibri" w:cs="Calibri"/>
          <w:color w:val="202124"/>
          <w:kern w:val="0"/>
          <w14:ligatures w14:val="none"/>
        </w:rPr>
        <w:t>. At a minimum, this includes:</w:t>
      </w:r>
    </w:p>
    <w:p w14:paraId="4A27D039" w14:textId="77777777" w:rsidR="004739A9" w:rsidRPr="008D68B3" w:rsidRDefault="004739A9" w:rsidP="008F54D1">
      <w:pPr>
        <w:shd w:val="clear" w:color="auto" w:fill="FFFFFF"/>
        <w:rPr>
          <w:rFonts w:ascii="Calibri" w:eastAsia="Times New Roman" w:hAnsi="Calibri" w:cs="Calibri"/>
          <w:color w:val="202124"/>
          <w:kern w:val="0"/>
          <w14:ligatures w14:val="none"/>
        </w:rPr>
      </w:pPr>
    </w:p>
    <w:p w14:paraId="585DD859" w14:textId="7A6DD473" w:rsidR="004739A9" w:rsidRPr="008D68B3" w:rsidRDefault="004739A9" w:rsidP="008F54D1">
      <w:pPr>
        <w:pStyle w:val="ListParagraph"/>
        <w:numPr>
          <w:ilvl w:val="0"/>
          <w:numId w:val="1"/>
        </w:numPr>
        <w:shd w:val="clear" w:color="auto" w:fill="FFFFFF"/>
        <w:rPr>
          <w:rFonts w:ascii="Calibri" w:eastAsia="Times New Roman" w:hAnsi="Calibri" w:cs="Calibri"/>
          <w:color w:val="202124"/>
          <w:kern w:val="0"/>
          <w14:ligatures w14:val="none"/>
        </w:rPr>
      </w:pPr>
      <w:r w:rsidRPr="008D68B3">
        <w:rPr>
          <w:rFonts w:ascii="Calibri" w:eastAsia="Times New Roman" w:hAnsi="Calibri" w:cs="Calibri"/>
          <w:color w:val="202124"/>
          <w:kern w:val="0"/>
          <w14:ligatures w14:val="none"/>
        </w:rPr>
        <w:t>Halting all new financing that enables the perpetuation or expansion of industrial livestock production.</w:t>
      </w:r>
      <w:r w:rsidRPr="008D68B3">
        <w:rPr>
          <w:rStyle w:val="EndnoteReference"/>
          <w:rFonts w:ascii="Calibri" w:eastAsia="Times New Roman" w:hAnsi="Calibri" w:cs="Calibri"/>
          <w:color w:val="202124"/>
          <w:kern w:val="0"/>
          <w14:ligatures w14:val="none"/>
        </w:rPr>
        <w:endnoteReference w:id="8"/>
      </w:r>
    </w:p>
    <w:p w14:paraId="4040EA42" w14:textId="1673818C" w:rsidR="004739A9" w:rsidRPr="008D68B3" w:rsidRDefault="004739A9" w:rsidP="008F54D1">
      <w:pPr>
        <w:pStyle w:val="ListParagraph"/>
        <w:numPr>
          <w:ilvl w:val="0"/>
          <w:numId w:val="1"/>
        </w:numPr>
        <w:shd w:val="clear" w:color="auto" w:fill="FFFFFF"/>
        <w:rPr>
          <w:rFonts w:ascii="Calibri" w:eastAsia="Times New Roman" w:hAnsi="Calibri" w:cs="Calibri"/>
          <w:color w:val="202124"/>
          <w:kern w:val="0"/>
          <w14:ligatures w14:val="none"/>
        </w:rPr>
      </w:pPr>
      <w:r w:rsidRPr="008D68B3">
        <w:rPr>
          <w:rFonts w:ascii="Calibri" w:eastAsia="Times New Roman" w:hAnsi="Calibri" w:cs="Calibri"/>
          <w:color w:val="202124"/>
          <w:kern w:val="0"/>
          <w14:ligatures w14:val="none"/>
        </w:rPr>
        <w:t>Requiring meat, dairy, and feed clients to disclose third party verified 1.5°C targets and action plans that align with the Intergovernmental Panel on Climate Change 2022 (IPCC22) or an equivalent science-based sectoral pathway.</w:t>
      </w:r>
      <w:r w:rsidRPr="008D68B3">
        <w:rPr>
          <w:rStyle w:val="EndnoteReference"/>
          <w:rFonts w:ascii="Calibri" w:eastAsia="Times New Roman" w:hAnsi="Calibri" w:cs="Calibri"/>
          <w:color w:val="202124"/>
          <w:kern w:val="0"/>
          <w14:ligatures w14:val="none"/>
        </w:rPr>
        <w:endnoteReference w:id="9"/>
      </w:r>
    </w:p>
    <w:p w14:paraId="42551178" w14:textId="1D7864FF" w:rsidR="004739A9" w:rsidRPr="008D68B3" w:rsidRDefault="004739A9" w:rsidP="008F54D1">
      <w:pPr>
        <w:pStyle w:val="ListParagraph"/>
        <w:numPr>
          <w:ilvl w:val="0"/>
          <w:numId w:val="1"/>
        </w:numPr>
        <w:shd w:val="clear" w:color="auto" w:fill="FFFFFF"/>
        <w:rPr>
          <w:rFonts w:ascii="Calibri" w:eastAsia="Times New Roman" w:hAnsi="Calibri" w:cs="Calibri"/>
          <w:color w:val="202124"/>
          <w:kern w:val="0"/>
          <w14:ligatures w14:val="none"/>
        </w:rPr>
      </w:pPr>
      <w:r w:rsidRPr="008D68B3">
        <w:rPr>
          <w:rFonts w:ascii="Calibri" w:eastAsia="Times New Roman" w:hAnsi="Calibri" w:cs="Calibri"/>
          <w:color w:val="202124"/>
          <w:kern w:val="0"/>
          <w14:ligatures w14:val="none"/>
        </w:rPr>
        <w:t>Addressing the additional social and environmental harms from industrial livestock production.</w:t>
      </w:r>
      <w:r w:rsidRPr="008D68B3">
        <w:rPr>
          <w:rStyle w:val="EndnoteReference"/>
          <w:rFonts w:ascii="Calibri" w:eastAsia="Times New Roman" w:hAnsi="Calibri" w:cs="Calibri"/>
          <w:color w:val="202124"/>
          <w:kern w:val="0"/>
          <w14:ligatures w14:val="none"/>
        </w:rPr>
        <w:endnoteReference w:id="10"/>
      </w:r>
    </w:p>
    <w:p w14:paraId="548C0AC0" w14:textId="77777777" w:rsidR="004739A9" w:rsidRPr="008F54D1" w:rsidRDefault="004739A9" w:rsidP="008F54D1">
      <w:pPr>
        <w:shd w:val="clear" w:color="auto" w:fill="FFFFFF"/>
        <w:rPr>
          <w:rFonts w:ascii="Calibri" w:eastAsia="Times New Roman" w:hAnsi="Calibri" w:cs="Calibri"/>
          <w:color w:val="202124"/>
          <w:kern w:val="0"/>
          <w14:ligatures w14:val="none"/>
        </w:rPr>
      </w:pPr>
    </w:p>
    <w:p w14:paraId="1B853FA5" w14:textId="77777777" w:rsidR="004739A9" w:rsidRPr="008D68B3" w:rsidRDefault="004739A9"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 xml:space="preserve">As the climate crisis deepens and evidence of harm driven by companies and ignored by their </w:t>
      </w:r>
      <w:proofErr w:type="gramStart"/>
      <w:r w:rsidRPr="008F54D1">
        <w:rPr>
          <w:rFonts w:ascii="Calibri" w:eastAsia="Times New Roman" w:hAnsi="Calibri" w:cs="Calibri"/>
          <w:color w:val="202124"/>
          <w:kern w:val="0"/>
          <w14:ligatures w14:val="none"/>
        </w:rPr>
        <w:t>financiers</w:t>
      </w:r>
      <w:proofErr w:type="gramEnd"/>
      <w:r w:rsidRPr="008F54D1">
        <w:rPr>
          <w:rFonts w:ascii="Calibri" w:eastAsia="Times New Roman" w:hAnsi="Calibri" w:cs="Calibri"/>
          <w:color w:val="202124"/>
          <w:kern w:val="0"/>
          <w14:ligatures w14:val="none"/>
        </w:rPr>
        <w:t xml:space="preserve"> mounts, banks are coming under increasing pressure from policymakers, shareholders, and civil society. They are increasingly expected to slash the greenhouse gas (GHG) emissions attributable to their loans, underwriting, investments, and other financial services. This pressure has resulted in climate commitments from financial institutions, including the commitment by signatories to the </w:t>
      </w:r>
      <w:hyperlink r:id="rId11" w:history="1">
        <w:r w:rsidRPr="008F54D1">
          <w:rPr>
            <w:rFonts w:ascii="Calibri" w:eastAsia="Times New Roman" w:hAnsi="Calibri" w:cs="Calibri"/>
            <w:color w:val="1155CC"/>
            <w:kern w:val="0"/>
            <w:u w:val="single"/>
            <w14:ligatures w14:val="none"/>
          </w:rPr>
          <w:t>Net Zero Banking Alliance</w:t>
        </w:r>
      </w:hyperlink>
      <w:r w:rsidRPr="008F54D1">
        <w:rPr>
          <w:rFonts w:ascii="Calibri" w:eastAsia="Times New Roman" w:hAnsi="Calibri" w:cs="Calibri"/>
          <w:color w:val="202124"/>
          <w:kern w:val="0"/>
          <w14:ligatures w14:val="none"/>
        </w:rPr>
        <w:t> to set GHG emissions reduction targets for agriculture by the end of 2024.</w:t>
      </w:r>
    </w:p>
    <w:p w14:paraId="3E90C3DF" w14:textId="77777777" w:rsidR="004739A9" w:rsidRPr="008F54D1" w:rsidRDefault="004739A9" w:rsidP="008F54D1">
      <w:pPr>
        <w:shd w:val="clear" w:color="auto" w:fill="FFFFFF"/>
        <w:rPr>
          <w:rFonts w:ascii="Calibri" w:eastAsia="Times New Roman" w:hAnsi="Calibri" w:cs="Calibri"/>
          <w:color w:val="202124"/>
          <w:kern w:val="0"/>
          <w14:ligatures w14:val="none"/>
        </w:rPr>
      </w:pPr>
    </w:p>
    <w:p w14:paraId="61E752E3" w14:textId="3DEA0BB2" w:rsidR="004739A9" w:rsidRPr="008D68B3" w:rsidRDefault="004739A9"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 xml:space="preserve">Despite their climate commitments and the overwhelming evidence that </w:t>
      </w:r>
      <w:r w:rsidR="0032231E">
        <w:rPr>
          <w:rFonts w:ascii="Calibri" w:eastAsia="Times New Roman" w:hAnsi="Calibri" w:cs="Calibri"/>
          <w:color w:val="202124"/>
          <w:kern w:val="0"/>
          <w14:ligatures w14:val="none"/>
        </w:rPr>
        <w:t xml:space="preserve">the </w:t>
      </w:r>
      <w:r w:rsidRPr="008F54D1">
        <w:rPr>
          <w:rFonts w:ascii="Calibri" w:eastAsia="Times New Roman" w:hAnsi="Calibri" w:cs="Calibri"/>
          <w:color w:val="202124"/>
          <w:kern w:val="0"/>
          <w14:ligatures w14:val="none"/>
        </w:rPr>
        <w:t>perpetuation and expansion of industrial livestock production emits significant GHG emissions, recent </w:t>
      </w:r>
      <w:hyperlink r:id="rId12" w:history="1">
        <w:r w:rsidRPr="008F54D1">
          <w:rPr>
            <w:rFonts w:ascii="Calibri" w:eastAsia="Times New Roman" w:hAnsi="Calibri" w:cs="Calibri"/>
            <w:color w:val="1155CC"/>
            <w:kern w:val="0"/>
            <w:u w:val="single"/>
            <w14:ligatures w14:val="none"/>
          </w:rPr>
          <w:t>research conducted by Profundo and Feedback Global</w:t>
        </w:r>
      </w:hyperlink>
      <w:r w:rsidRPr="008F54D1">
        <w:rPr>
          <w:rFonts w:ascii="Calibri" w:eastAsia="Times New Roman" w:hAnsi="Calibri" w:cs="Calibri"/>
          <w:color w:val="202124"/>
          <w:kern w:val="0"/>
          <w14:ligatures w14:val="none"/>
        </w:rPr>
        <w:t> shows that global bank financing of corporations involved in industrial livestock production is significant and increasing. </w:t>
      </w:r>
      <w:hyperlink r:id="rId13" w:history="1">
        <w:r w:rsidRPr="008F54D1">
          <w:rPr>
            <w:rFonts w:ascii="Calibri" w:eastAsia="Times New Roman" w:hAnsi="Calibri" w:cs="Calibri"/>
            <w:color w:val="1155CC"/>
            <w:kern w:val="0"/>
            <w:u w:val="single"/>
            <w14:ligatures w14:val="none"/>
          </w:rPr>
          <w:t>Over half a trillion dollars in credit</w:t>
        </w:r>
      </w:hyperlink>
      <w:r w:rsidRPr="008F54D1">
        <w:rPr>
          <w:rFonts w:ascii="Calibri" w:eastAsia="Times New Roman" w:hAnsi="Calibri" w:cs="Calibri"/>
          <w:color w:val="202124"/>
          <w:kern w:val="0"/>
          <w14:ligatures w14:val="none"/>
        </w:rPr>
        <w:t>, US$615 billion, have been provided globally to the world’s largest meat, dairy, and feed corporations in just over eight years and since the Paris Agreement was signed. From 2019 to 2022, banks granted </w:t>
      </w:r>
      <w:hyperlink r:id="rId14" w:history="1">
        <w:r w:rsidRPr="008F54D1">
          <w:rPr>
            <w:rFonts w:ascii="Calibri" w:eastAsia="Times New Roman" w:hAnsi="Calibri" w:cs="Calibri"/>
            <w:color w:val="1155CC"/>
            <w:kern w:val="0"/>
            <w:u w:val="single"/>
            <w14:ligatures w14:val="none"/>
          </w:rPr>
          <w:t>15% more credit</w:t>
        </w:r>
      </w:hyperlink>
      <w:r w:rsidRPr="008F54D1">
        <w:rPr>
          <w:rFonts w:ascii="Calibri" w:eastAsia="Times New Roman" w:hAnsi="Calibri" w:cs="Calibri"/>
          <w:color w:val="202124"/>
          <w:kern w:val="0"/>
          <w14:ligatures w14:val="none"/>
        </w:rPr>
        <w:t> to the largest meat, dairy, and feed corporations than the previous four years.</w:t>
      </w:r>
    </w:p>
    <w:p w14:paraId="21621504" w14:textId="77777777" w:rsidR="004739A9" w:rsidRPr="008F54D1" w:rsidRDefault="004739A9" w:rsidP="008F54D1">
      <w:pPr>
        <w:shd w:val="clear" w:color="auto" w:fill="FFFFFF"/>
        <w:rPr>
          <w:rFonts w:ascii="Calibri" w:eastAsia="Times New Roman" w:hAnsi="Calibri" w:cs="Calibri"/>
          <w:color w:val="202124"/>
          <w:kern w:val="0"/>
          <w14:ligatures w14:val="none"/>
        </w:rPr>
      </w:pPr>
    </w:p>
    <w:p w14:paraId="0263C647" w14:textId="447D6A70" w:rsidR="004739A9" w:rsidRPr="008D68B3" w:rsidRDefault="004739A9"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Further research in a study by Friends of the Earth U.S. (FOE U.S.) and Profundo titled </w:t>
      </w:r>
      <w:hyperlink r:id="rId15" w:history="1">
        <w:r w:rsidRPr="008F54D1">
          <w:rPr>
            <w:rFonts w:ascii="Calibri" w:eastAsia="Times New Roman" w:hAnsi="Calibri" w:cs="Calibri"/>
            <w:color w:val="1155CC"/>
            <w:kern w:val="0"/>
            <w:u w:val="single"/>
            <w14:ligatures w14:val="none"/>
          </w:rPr>
          <w:t>Bull in the Climate Shop: Industrial Livestock Financing Sabotages Major U.S. Banks’ Climate Commitments</w:t>
        </w:r>
      </w:hyperlink>
      <w:r w:rsidRPr="008F54D1">
        <w:rPr>
          <w:rFonts w:ascii="Calibri" w:eastAsia="Times New Roman" w:hAnsi="Calibri" w:cs="Calibri"/>
          <w:color w:val="202124"/>
          <w:kern w:val="0"/>
          <w14:ligatures w14:val="none"/>
        </w:rPr>
        <w:t> reveals that of the US$134 billion in loans and underwriting from U.S.-based banks to the meat, dairy, and feed corporations examined, more than half can be attributed to Bank of America, Citigroup, and JP Morgan Chase (the “Big Three”).</w:t>
      </w:r>
      <w:r w:rsidRPr="008D68B3">
        <w:rPr>
          <w:rStyle w:val="EndnoteReference"/>
          <w:rFonts w:ascii="Calibri" w:eastAsia="Times New Roman" w:hAnsi="Calibri" w:cs="Calibri"/>
          <w:color w:val="202124"/>
          <w:kern w:val="0"/>
          <w14:ligatures w14:val="none"/>
        </w:rPr>
        <w:endnoteReference w:id="11"/>
      </w:r>
      <w:r w:rsidRPr="008F54D1">
        <w:rPr>
          <w:rFonts w:ascii="Calibri" w:eastAsia="Times New Roman" w:hAnsi="Calibri" w:cs="Calibri"/>
          <w:color w:val="202124"/>
          <w:kern w:val="0"/>
          <w14:ligatures w14:val="none"/>
        </w:rPr>
        <w:t> </w:t>
      </w:r>
    </w:p>
    <w:p w14:paraId="347CE1DD" w14:textId="77777777" w:rsidR="004739A9" w:rsidRPr="008F54D1" w:rsidRDefault="004739A9" w:rsidP="008F54D1">
      <w:pPr>
        <w:shd w:val="clear" w:color="auto" w:fill="FFFFFF"/>
        <w:rPr>
          <w:rFonts w:ascii="Calibri" w:eastAsia="Times New Roman" w:hAnsi="Calibri" w:cs="Calibri"/>
          <w:color w:val="202124"/>
          <w:kern w:val="0"/>
          <w14:ligatures w14:val="none"/>
        </w:rPr>
      </w:pPr>
    </w:p>
    <w:p w14:paraId="48BA5647" w14:textId="05A7AC39" w:rsidR="004739A9" w:rsidRPr="008D68B3" w:rsidRDefault="004739A9"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 xml:space="preserve">The Big Three’s lending to meat, dairy, and feed </w:t>
      </w:r>
      <w:proofErr w:type="gramStart"/>
      <w:r w:rsidRPr="008F54D1">
        <w:rPr>
          <w:rFonts w:ascii="Calibri" w:eastAsia="Times New Roman" w:hAnsi="Calibri" w:cs="Calibri"/>
          <w:color w:val="202124"/>
          <w:kern w:val="0"/>
          <w14:ligatures w14:val="none"/>
        </w:rPr>
        <w:t>corporations</w:t>
      </w:r>
      <w:proofErr w:type="gramEnd"/>
      <w:r w:rsidRPr="008F54D1">
        <w:rPr>
          <w:rFonts w:ascii="Calibri" w:eastAsia="Times New Roman" w:hAnsi="Calibri" w:cs="Calibri"/>
          <w:color w:val="202124"/>
          <w:kern w:val="0"/>
          <w14:ligatures w14:val="none"/>
        </w:rPr>
        <w:t xml:space="preserve"> results in approximately 11% of greenhouse gas emissions linked to the banks’ financing. However, these corporations represent just a tiny fraction (0.25%) of the banks’ portfolios — a 44X difference. Thus, by eliminating their financing of high-emitting corporations involved in meat, dairy, and feed production — a relatively small change in how they allocate their capital — these big banks can affect a sharp emissions reduction. The biggest emitters among the Big Three’s meat, dairy, and feed clients include Cargill, ADM, Bunge, and Nestlé.</w:t>
      </w:r>
      <w:r w:rsidRPr="008D68B3">
        <w:rPr>
          <w:rStyle w:val="EndnoteReference"/>
          <w:rFonts w:ascii="Calibri" w:eastAsia="Times New Roman" w:hAnsi="Calibri" w:cs="Calibri"/>
          <w:color w:val="202124"/>
          <w:kern w:val="0"/>
          <w14:ligatures w14:val="none"/>
        </w:rPr>
        <w:endnoteReference w:id="12"/>
      </w:r>
    </w:p>
    <w:p w14:paraId="14A47F77" w14:textId="77777777" w:rsidR="008F54D1" w:rsidRPr="008F54D1" w:rsidRDefault="008F54D1" w:rsidP="008F54D1">
      <w:pPr>
        <w:shd w:val="clear" w:color="auto" w:fill="FFFFFF"/>
        <w:rPr>
          <w:rFonts w:ascii="Calibri" w:eastAsia="Times New Roman" w:hAnsi="Calibri" w:cs="Calibri"/>
          <w:color w:val="202124"/>
          <w:kern w:val="0"/>
          <w14:ligatures w14:val="none"/>
        </w:rPr>
      </w:pPr>
    </w:p>
    <w:p w14:paraId="2F8CBC63" w14:textId="77777777" w:rsidR="008F54D1" w:rsidRPr="008D68B3" w:rsidRDefault="008F54D1"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What is worse, of the 58 U.S. banks examined in FOE U.S.’ report, up to 70% of the banks’ total meat and dairy related financed and facilitated emissions are methane (using GWP20), which has 80X the warming potential of carbon dioxide. Bank of America’s underwriting of JBS alone accounted for 87% of its facilitated methane emissions from meat and dairy corporations.</w:t>
      </w:r>
    </w:p>
    <w:p w14:paraId="166B60F5" w14:textId="77777777" w:rsidR="00EA6AD3" w:rsidRPr="008F54D1" w:rsidRDefault="00EA6AD3" w:rsidP="008F54D1">
      <w:pPr>
        <w:shd w:val="clear" w:color="auto" w:fill="FFFFFF"/>
        <w:rPr>
          <w:rFonts w:ascii="Calibri" w:eastAsia="Times New Roman" w:hAnsi="Calibri" w:cs="Calibri"/>
          <w:color w:val="202124"/>
          <w:kern w:val="0"/>
          <w14:ligatures w14:val="none"/>
        </w:rPr>
      </w:pPr>
    </w:p>
    <w:p w14:paraId="530B5633" w14:textId="77777777" w:rsidR="00EA6AD3" w:rsidRPr="008D68B3" w:rsidRDefault="008F54D1"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 xml:space="preserve">Investing in industrial livestock production is not aligned with safeguarding the stability of life-sustaining systems. Industrial livestock companies’ operations are structurally at odds with a sustainable future — they are hardwired to pursue growth in the unsustainable mass production of meat and dairy. </w:t>
      </w:r>
    </w:p>
    <w:p w14:paraId="38043B10" w14:textId="77777777" w:rsidR="00EA6AD3" w:rsidRPr="008D68B3" w:rsidRDefault="00EA6AD3" w:rsidP="008F54D1">
      <w:pPr>
        <w:shd w:val="clear" w:color="auto" w:fill="FFFFFF"/>
        <w:rPr>
          <w:rFonts w:ascii="Calibri" w:eastAsia="Times New Roman" w:hAnsi="Calibri" w:cs="Calibri"/>
          <w:color w:val="202124"/>
          <w:kern w:val="0"/>
          <w14:ligatures w14:val="none"/>
        </w:rPr>
      </w:pPr>
    </w:p>
    <w:p w14:paraId="6517F366" w14:textId="338FCE1D" w:rsidR="008F54D1" w:rsidRPr="008D68B3" w:rsidRDefault="008F54D1"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 xml:space="preserve">Therefore, banks simply cannot achieve their climate commitments without a significant reduction in their financing to meat, dairy, and feed corporations. Halting bank financing of industrial livestock production would immediately and significantly improve banks’ emissions equation, demonstrate a commitment to addressing climate and nature-related impacts, and deliver benefits to the planet, people, and the banks. </w:t>
      </w:r>
    </w:p>
    <w:p w14:paraId="7F4BC978" w14:textId="77777777" w:rsidR="008F54D1" w:rsidRPr="008D68B3" w:rsidRDefault="008F54D1" w:rsidP="008F54D1">
      <w:pPr>
        <w:shd w:val="clear" w:color="auto" w:fill="FFFFFF"/>
        <w:rPr>
          <w:rFonts w:ascii="Calibri" w:eastAsia="Times New Roman" w:hAnsi="Calibri" w:cs="Calibri"/>
          <w:color w:val="202124"/>
          <w:kern w:val="0"/>
          <w14:ligatures w14:val="none"/>
        </w:rPr>
      </w:pPr>
    </w:p>
    <w:p w14:paraId="4523DD3C" w14:textId="62E17B80" w:rsidR="008F54D1" w:rsidRPr="008F54D1" w:rsidRDefault="008F54D1"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We urge banks to take immediate action.</w:t>
      </w:r>
    </w:p>
    <w:p w14:paraId="6A1BD4B8" w14:textId="77777777" w:rsidR="008F54D1" w:rsidRPr="008D68B3" w:rsidRDefault="008F54D1" w:rsidP="008F54D1">
      <w:pPr>
        <w:shd w:val="clear" w:color="auto" w:fill="FFFFFF"/>
        <w:rPr>
          <w:rFonts w:ascii="Calibri" w:eastAsia="Times New Roman" w:hAnsi="Calibri" w:cs="Calibri"/>
          <w:color w:val="202124"/>
          <w:kern w:val="0"/>
          <w14:ligatures w14:val="none"/>
        </w:rPr>
      </w:pPr>
    </w:p>
    <w:p w14:paraId="0BEB1447" w14:textId="197CF6FC" w:rsidR="008F54D1" w:rsidRPr="008F54D1" w:rsidRDefault="008F54D1"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We welcome a conversation with you to discuss this matter in the coming weeks. For questions and feedback, please contact Eryn Schornick at </w:t>
      </w:r>
      <w:hyperlink r:id="rId16" w:history="1">
        <w:r w:rsidRPr="008F54D1">
          <w:rPr>
            <w:rFonts w:ascii="Calibri" w:eastAsia="Times New Roman" w:hAnsi="Calibri" w:cs="Calibri"/>
            <w:color w:val="1155CC"/>
            <w:kern w:val="0"/>
            <w:u w:val="single"/>
            <w14:ligatures w14:val="none"/>
          </w:rPr>
          <w:t>eschornick@foe.org</w:t>
        </w:r>
      </w:hyperlink>
      <w:r w:rsidRPr="008F54D1">
        <w:rPr>
          <w:rFonts w:ascii="Calibri" w:eastAsia="Times New Roman" w:hAnsi="Calibri" w:cs="Calibri"/>
          <w:color w:val="202124"/>
          <w:kern w:val="0"/>
          <w14:ligatures w14:val="none"/>
        </w:rPr>
        <w:t>.</w:t>
      </w:r>
    </w:p>
    <w:p w14:paraId="06549507" w14:textId="77777777" w:rsidR="008F54D1" w:rsidRPr="008D68B3" w:rsidRDefault="008F54D1" w:rsidP="008F54D1">
      <w:pPr>
        <w:shd w:val="clear" w:color="auto" w:fill="FFFFFF"/>
        <w:rPr>
          <w:rFonts w:ascii="Calibri" w:eastAsia="Times New Roman" w:hAnsi="Calibri" w:cs="Calibri"/>
          <w:color w:val="202124"/>
          <w:kern w:val="0"/>
          <w14:ligatures w14:val="none"/>
        </w:rPr>
      </w:pPr>
    </w:p>
    <w:p w14:paraId="54759439" w14:textId="48BC995E" w:rsidR="008F54D1" w:rsidRPr="008D68B3" w:rsidRDefault="008F54D1"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Sincerely,</w:t>
      </w:r>
    </w:p>
    <w:p w14:paraId="178E0FD2" w14:textId="77777777" w:rsidR="00021AAE" w:rsidRPr="008D68B3" w:rsidRDefault="00021AAE" w:rsidP="008F54D1">
      <w:pPr>
        <w:shd w:val="clear" w:color="auto" w:fill="FFFFFF"/>
        <w:rPr>
          <w:rFonts w:ascii="Calibri" w:eastAsia="Times New Roman" w:hAnsi="Calibri" w:cs="Calibri"/>
          <w:color w:val="202124"/>
          <w:kern w:val="0"/>
          <w14:ligatures w14:val="none"/>
        </w:rPr>
      </w:pPr>
    </w:p>
    <w:p w14:paraId="32F9E468" w14:textId="77777777" w:rsidR="00774416" w:rsidRDefault="00774416" w:rsidP="00774416">
      <w:r>
        <w:t>1000 Grandmothers for Future Generations</w:t>
      </w:r>
    </w:p>
    <w:p w14:paraId="37BC33A9" w14:textId="77777777" w:rsidR="00774416" w:rsidRDefault="00774416" w:rsidP="00774416">
      <w:r>
        <w:t>A Well-Fed World</w:t>
      </w:r>
    </w:p>
    <w:p w14:paraId="4A16B7FB" w14:textId="77777777" w:rsidR="00774416" w:rsidRDefault="00774416" w:rsidP="00774416">
      <w:proofErr w:type="spellStart"/>
      <w:r>
        <w:t>AbibiNsroma</w:t>
      </w:r>
      <w:proofErr w:type="spellEnd"/>
      <w:r>
        <w:t xml:space="preserve"> Foundation (ANF)</w:t>
      </w:r>
    </w:p>
    <w:p w14:paraId="649CED00" w14:textId="77777777" w:rsidR="00774416" w:rsidRDefault="00774416" w:rsidP="00774416">
      <w:r>
        <w:t>ActionAid France</w:t>
      </w:r>
    </w:p>
    <w:p w14:paraId="733D0A83" w14:textId="77777777" w:rsidR="00774416" w:rsidRDefault="00774416" w:rsidP="00774416">
      <w:r>
        <w:t>ActionAid International</w:t>
      </w:r>
    </w:p>
    <w:p w14:paraId="07C94AEA" w14:textId="77777777" w:rsidR="00774416" w:rsidRDefault="00774416" w:rsidP="00774416">
      <w:r>
        <w:t>ActionAid UK</w:t>
      </w:r>
    </w:p>
    <w:p w14:paraId="504BA848" w14:textId="77777777" w:rsidR="00774416" w:rsidRDefault="00774416" w:rsidP="00774416">
      <w:r>
        <w:t>ActionAid USA</w:t>
      </w:r>
    </w:p>
    <w:p w14:paraId="0183B19E" w14:textId="77777777" w:rsidR="00774416" w:rsidRDefault="00774416" w:rsidP="00774416">
      <w:proofErr w:type="spellStart"/>
      <w:r>
        <w:t>Aliansi</w:t>
      </w:r>
      <w:proofErr w:type="spellEnd"/>
      <w:r>
        <w:t xml:space="preserve"> Masyarakat Adat Nusantara (AMAN) Maluku</w:t>
      </w:r>
    </w:p>
    <w:p w14:paraId="3441BD9C" w14:textId="77777777" w:rsidR="00774416" w:rsidRDefault="00774416" w:rsidP="00774416">
      <w:r>
        <w:t>Angie</w:t>
      </w:r>
    </w:p>
    <w:p w14:paraId="5913E0E3" w14:textId="77777777" w:rsidR="00774416" w:rsidRDefault="00774416" w:rsidP="00774416">
      <w:r>
        <w:t>Animal Partisan</w:t>
      </w:r>
    </w:p>
    <w:p w14:paraId="6AA75A4A" w14:textId="77777777" w:rsidR="00774416" w:rsidRDefault="00774416" w:rsidP="00774416">
      <w:r>
        <w:t>Animals Asia Foundation</w:t>
      </w:r>
    </w:p>
    <w:p w14:paraId="313FA7BE" w14:textId="77777777" w:rsidR="00774416" w:rsidRDefault="00774416" w:rsidP="00774416">
      <w:r>
        <w:t>Asia Indigenous Peoples Network on Extractive Industries and Energy (AIPNEE)</w:t>
      </w:r>
    </w:p>
    <w:p w14:paraId="7212FC36" w14:textId="77777777" w:rsidR="00774416" w:rsidRPr="00A95A83" w:rsidRDefault="00774416" w:rsidP="00774416">
      <w:pPr>
        <w:rPr>
          <w:lang w:val="es-MX"/>
        </w:rPr>
      </w:pPr>
      <w:r w:rsidRPr="00A95A83">
        <w:rPr>
          <w:lang w:val="es-MX"/>
        </w:rPr>
        <w:lastRenderedPageBreak/>
        <w:t>Asociación Unión de Talleres 11 de septiembre</w:t>
      </w:r>
    </w:p>
    <w:p w14:paraId="5D629BCD" w14:textId="77777777" w:rsidR="00774416" w:rsidRDefault="00774416" w:rsidP="00774416">
      <w:r>
        <w:t>Bank Climate Advocates</w:t>
      </w:r>
    </w:p>
    <w:p w14:paraId="2AFFEECD" w14:textId="77777777" w:rsidR="00774416" w:rsidRDefault="00774416" w:rsidP="00774416">
      <w:r>
        <w:t>Bank Information Center</w:t>
      </w:r>
    </w:p>
    <w:p w14:paraId="3778F475" w14:textId="77777777" w:rsidR="00774416" w:rsidRDefault="00774416" w:rsidP="00774416">
      <w:r>
        <w:t>Bank on our Future</w:t>
      </w:r>
    </w:p>
    <w:p w14:paraId="3646F902" w14:textId="77777777" w:rsidR="00774416" w:rsidRDefault="00774416" w:rsidP="00774416">
      <w:proofErr w:type="spellStart"/>
      <w:r>
        <w:t>BankTrack</w:t>
      </w:r>
      <w:proofErr w:type="spellEnd"/>
    </w:p>
    <w:p w14:paraId="5BCB86A9" w14:textId="77777777" w:rsidR="00774416" w:rsidRDefault="00774416" w:rsidP="00774416">
      <w:r>
        <w:t>Better Food Foundation</w:t>
      </w:r>
    </w:p>
    <w:p w14:paraId="29F9DF6E" w14:textId="77777777" w:rsidR="00774416" w:rsidRDefault="00774416" w:rsidP="00774416">
      <w:r>
        <w:t>Beyond Cruelty Foundation</w:t>
      </w:r>
    </w:p>
    <w:p w14:paraId="71FD5739" w14:textId="77777777" w:rsidR="00774416" w:rsidRDefault="00774416" w:rsidP="00774416">
      <w:r>
        <w:t>Brighter Green</w:t>
      </w:r>
    </w:p>
    <w:p w14:paraId="1F0824DD" w14:textId="77777777" w:rsidR="00774416" w:rsidRDefault="00774416" w:rsidP="00774416">
      <w:r>
        <w:t>Coalition of African Animal Welfare Organizations (CAAWO)</w:t>
      </w:r>
    </w:p>
    <w:p w14:paraId="167AEF34" w14:textId="77777777" w:rsidR="00774416" w:rsidRDefault="00774416" w:rsidP="00774416">
      <w:r>
        <w:t>Center for Biological Diversity</w:t>
      </w:r>
    </w:p>
    <w:p w14:paraId="05376B38" w14:textId="77777777" w:rsidR="00774416" w:rsidRDefault="00774416" w:rsidP="00774416">
      <w:r>
        <w:t>Center For Food Safety</w:t>
      </w:r>
    </w:p>
    <w:p w14:paraId="3A190834" w14:textId="77777777" w:rsidR="00774416" w:rsidRDefault="00774416" w:rsidP="00774416">
      <w:r>
        <w:t>Changing Markets Foundation</w:t>
      </w:r>
    </w:p>
    <w:p w14:paraId="6D5C89F4" w14:textId="77777777" w:rsidR="00774416" w:rsidRDefault="00774416" w:rsidP="00774416">
      <w:proofErr w:type="spellStart"/>
      <w:proofErr w:type="gramStart"/>
      <w:r>
        <w:t>chilli.club</w:t>
      </w:r>
      <w:proofErr w:type="spellEnd"/>
      <w:proofErr w:type="gramEnd"/>
    </w:p>
    <w:p w14:paraId="12255865" w14:textId="77777777" w:rsidR="00774416" w:rsidRDefault="00774416" w:rsidP="00774416">
      <w:r>
        <w:t>Churchill Fellowship</w:t>
      </w:r>
    </w:p>
    <w:p w14:paraId="3DBCCCD2" w14:textId="77777777" w:rsidR="00774416" w:rsidRDefault="00774416" w:rsidP="00774416">
      <w:proofErr w:type="spellStart"/>
      <w:r>
        <w:t>ClientEarth</w:t>
      </w:r>
      <w:proofErr w:type="spellEnd"/>
      <w:r>
        <w:t xml:space="preserve"> USA</w:t>
      </w:r>
    </w:p>
    <w:p w14:paraId="0F0A5BA0" w14:textId="77777777" w:rsidR="00774416" w:rsidRDefault="00774416" w:rsidP="00774416">
      <w:r>
        <w:t>Climate Organizing Hub</w:t>
      </w:r>
    </w:p>
    <w:p w14:paraId="1B69B99B" w14:textId="77777777" w:rsidR="00774416" w:rsidRDefault="00774416" w:rsidP="00774416">
      <w:r>
        <w:t>Colossal</w:t>
      </w:r>
    </w:p>
    <w:p w14:paraId="420236CA" w14:textId="77777777" w:rsidR="00774416" w:rsidRDefault="00774416" w:rsidP="00774416">
      <w:r>
        <w:t>Community Alliance for Global Justice</w:t>
      </w:r>
    </w:p>
    <w:p w14:paraId="69FCC829" w14:textId="77777777" w:rsidR="00774416" w:rsidRDefault="00774416" w:rsidP="00774416">
      <w:r>
        <w:t>Community Empowerment and Social Justice Network (CEMSOJ)</w:t>
      </w:r>
    </w:p>
    <w:p w14:paraId="2197B280" w14:textId="77777777" w:rsidR="00774416" w:rsidRDefault="00774416" w:rsidP="00774416">
      <w:r>
        <w:t>Compassion in World Farming International</w:t>
      </w:r>
    </w:p>
    <w:p w14:paraId="53A797AA" w14:textId="77777777" w:rsidR="00774416" w:rsidRDefault="00774416" w:rsidP="00774416">
      <w:r>
        <w:t>Concerned Health Professionals of Pennsylvania</w:t>
      </w:r>
    </w:p>
    <w:p w14:paraId="5F723351" w14:textId="77777777" w:rsidR="00774416" w:rsidRDefault="00774416" w:rsidP="00774416">
      <w:r>
        <w:t>COUNCIL OF PROTECTRESSES</w:t>
      </w:r>
    </w:p>
    <w:p w14:paraId="3B278D1B" w14:textId="77777777" w:rsidR="00774416" w:rsidRDefault="00774416" w:rsidP="00774416">
      <w:r>
        <w:t>Earth Ethics, Inc.</w:t>
      </w:r>
    </w:p>
    <w:p w14:paraId="775D271D" w14:textId="77777777" w:rsidR="00774416" w:rsidRDefault="00774416" w:rsidP="00774416">
      <w:r>
        <w:t>Earth Guardians</w:t>
      </w:r>
    </w:p>
    <w:p w14:paraId="4BB2695D" w14:textId="77777777" w:rsidR="00774416" w:rsidRDefault="00774416" w:rsidP="00774416">
      <w:r>
        <w:t>Ethical Farming Ireland</w:t>
      </w:r>
    </w:p>
    <w:p w14:paraId="1680E8EF" w14:textId="77777777" w:rsidR="00774416" w:rsidRDefault="00774416" w:rsidP="00774416">
      <w:r>
        <w:t>Facing Future Library</w:t>
      </w:r>
    </w:p>
    <w:p w14:paraId="6A74CBA0" w14:textId="77777777" w:rsidR="00774416" w:rsidRDefault="00774416" w:rsidP="00774416">
      <w:r>
        <w:t>FacingFuture.TV</w:t>
      </w:r>
    </w:p>
    <w:p w14:paraId="1DB498D0" w14:textId="77777777" w:rsidR="00774416" w:rsidRDefault="00774416" w:rsidP="00774416">
      <w:r>
        <w:t>Fair Start Movement</w:t>
      </w:r>
    </w:p>
    <w:p w14:paraId="34571551" w14:textId="77777777" w:rsidR="00774416" w:rsidRDefault="00774416" w:rsidP="00774416">
      <w:proofErr w:type="spellStart"/>
      <w:r>
        <w:t>FairFin</w:t>
      </w:r>
      <w:proofErr w:type="spellEnd"/>
    </w:p>
    <w:p w14:paraId="0BD98F48" w14:textId="77777777" w:rsidR="00774416" w:rsidRDefault="00774416" w:rsidP="00774416">
      <w:r>
        <w:t>Family Farm Defenders</w:t>
      </w:r>
    </w:p>
    <w:p w14:paraId="345A823E" w14:textId="77777777" w:rsidR="00774416" w:rsidRDefault="00774416" w:rsidP="00774416">
      <w:r>
        <w:t>Feedback Global</w:t>
      </w:r>
    </w:p>
    <w:p w14:paraId="0F434A23" w14:textId="77777777" w:rsidR="00774416" w:rsidRDefault="00774416" w:rsidP="00774416">
      <w:r>
        <w:t xml:space="preserve">Federation of Indian Animal </w:t>
      </w:r>
      <w:proofErr w:type="spellStart"/>
      <w:r>
        <w:t>Protrection</w:t>
      </w:r>
      <w:proofErr w:type="spellEnd"/>
      <w:r>
        <w:t xml:space="preserve"> Organizations (FIAPO)</w:t>
      </w:r>
    </w:p>
    <w:p w14:paraId="237FCA61" w14:textId="77777777" w:rsidR="00774416" w:rsidRDefault="00774416" w:rsidP="00774416">
      <w:r>
        <w:t>Food Revolution Network</w:t>
      </w:r>
    </w:p>
    <w:p w14:paraId="78839E69" w14:textId="77777777" w:rsidR="00774416" w:rsidRDefault="00774416" w:rsidP="00774416">
      <w:r>
        <w:t>Forests &amp; Finance Coalition</w:t>
      </w:r>
    </w:p>
    <w:p w14:paraId="6C6124AB" w14:textId="77777777" w:rsidR="00774416" w:rsidRDefault="00774416" w:rsidP="00774416">
      <w:r>
        <w:t>Friends of the Earth (England, Wales &amp; Northern Ireland)</w:t>
      </w:r>
    </w:p>
    <w:p w14:paraId="65C89E25" w14:textId="77777777" w:rsidR="00774416" w:rsidRDefault="00774416" w:rsidP="00774416">
      <w:r>
        <w:t>Friends of the Earth U.S.</w:t>
      </w:r>
    </w:p>
    <w:p w14:paraId="5C67CC2E" w14:textId="77777777" w:rsidR="00774416" w:rsidRDefault="00774416" w:rsidP="00774416">
      <w:r>
        <w:t>Future Food 4 Climate</w:t>
      </w:r>
    </w:p>
    <w:p w14:paraId="1510D947" w14:textId="77777777" w:rsidR="00774416" w:rsidRDefault="00774416" w:rsidP="00774416">
      <w:r>
        <w:t>Gender Action</w:t>
      </w:r>
    </w:p>
    <w:p w14:paraId="426C4718" w14:textId="77777777" w:rsidR="00774416" w:rsidRDefault="00774416" w:rsidP="00774416">
      <w:r>
        <w:t>Global Vegan Inspiration</w:t>
      </w:r>
    </w:p>
    <w:p w14:paraId="4EF03670" w14:textId="77777777" w:rsidR="00774416" w:rsidRDefault="00774416" w:rsidP="00774416">
      <w:r>
        <w:t>Great Plains Action Society</w:t>
      </w:r>
    </w:p>
    <w:p w14:paraId="706554E8" w14:textId="77777777" w:rsidR="00774416" w:rsidRDefault="00774416" w:rsidP="00774416">
      <w:r>
        <w:t>Green America</w:t>
      </w:r>
    </w:p>
    <w:p w14:paraId="7A772989" w14:textId="77777777" w:rsidR="00774416" w:rsidRDefault="00774416" w:rsidP="00774416">
      <w:r>
        <w:t>Green REV Institute</w:t>
      </w:r>
    </w:p>
    <w:p w14:paraId="48816448" w14:textId="77777777" w:rsidR="00774416" w:rsidRDefault="00774416" w:rsidP="00774416">
      <w:r>
        <w:t>Greenpeace</w:t>
      </w:r>
    </w:p>
    <w:p w14:paraId="26F0ED35" w14:textId="77777777" w:rsidR="00774416" w:rsidRDefault="00774416" w:rsidP="00774416">
      <w:r>
        <w:t>Habitat Recovery Project</w:t>
      </w:r>
    </w:p>
    <w:p w14:paraId="03C8D5EF" w14:textId="77777777" w:rsidR="00774416" w:rsidRDefault="00774416" w:rsidP="00774416">
      <w:r>
        <w:t>Harford County Climate Action</w:t>
      </w:r>
    </w:p>
    <w:p w14:paraId="4AC3F6D5" w14:textId="77777777" w:rsidR="00774416" w:rsidRDefault="00774416" w:rsidP="00774416">
      <w:r>
        <w:t>HEAL (Health, Environment, Agriculture, Labor) Food Alliance</w:t>
      </w:r>
    </w:p>
    <w:p w14:paraId="5AE12E62" w14:textId="77777777" w:rsidR="00774416" w:rsidRDefault="00774416" w:rsidP="00774416">
      <w:r>
        <w:t>Hive</w:t>
      </w:r>
    </w:p>
    <w:p w14:paraId="0BBD39C0" w14:textId="77777777" w:rsidR="00774416" w:rsidRDefault="00774416" w:rsidP="00774416">
      <w:r>
        <w:t>Housing and Land Right Network - Habitat International Coalition</w:t>
      </w:r>
    </w:p>
    <w:p w14:paraId="755D2D8C" w14:textId="77777777" w:rsidR="00774416" w:rsidRDefault="00774416" w:rsidP="00774416">
      <w:r>
        <w:lastRenderedPageBreak/>
        <w:t>Humane Investing, LLC.</w:t>
      </w:r>
    </w:p>
    <w:p w14:paraId="12A959E9" w14:textId="77777777" w:rsidR="00774416" w:rsidRDefault="00774416" w:rsidP="00774416">
      <w:r>
        <w:t>Humane Society International</w:t>
      </w:r>
    </w:p>
    <w:p w14:paraId="05EAF17A" w14:textId="77777777" w:rsidR="00774416" w:rsidRDefault="00774416" w:rsidP="00774416">
      <w:r>
        <w:t>Hungry Planet</w:t>
      </w:r>
    </w:p>
    <w:p w14:paraId="213E80C8" w14:textId="77777777" w:rsidR="00774416" w:rsidRDefault="00774416" w:rsidP="00774416">
      <w:r>
        <w:t>In Defense of Animals</w:t>
      </w:r>
    </w:p>
    <w:p w14:paraId="75DF399E" w14:textId="77777777" w:rsidR="00774416" w:rsidRDefault="00774416" w:rsidP="00774416">
      <w:r>
        <w:t>Independent</w:t>
      </w:r>
    </w:p>
    <w:p w14:paraId="0FB24EBF" w14:textId="77777777" w:rsidR="00774416" w:rsidRDefault="00774416" w:rsidP="00774416">
      <w:r>
        <w:t>Indigenous Environmental Network</w:t>
      </w:r>
    </w:p>
    <w:p w14:paraId="4683C20A" w14:textId="77777777" w:rsidR="00774416" w:rsidRDefault="00774416" w:rsidP="00774416">
      <w:r>
        <w:t>Institute for Agriculture and Trade Policy</w:t>
      </w:r>
    </w:p>
    <w:p w14:paraId="47B7CC81" w14:textId="77777777" w:rsidR="00774416" w:rsidRDefault="00774416" w:rsidP="00774416">
      <w:r>
        <w:t xml:space="preserve">Instituto </w:t>
      </w:r>
      <w:proofErr w:type="spellStart"/>
      <w:r>
        <w:t>Maíra</w:t>
      </w:r>
      <w:proofErr w:type="spellEnd"/>
    </w:p>
    <w:p w14:paraId="712D46A7" w14:textId="77777777" w:rsidR="00774416" w:rsidRDefault="00774416" w:rsidP="00774416">
      <w:r>
        <w:t>Jamaa Resource Initiatives</w:t>
      </w:r>
    </w:p>
    <w:p w14:paraId="70FC740B" w14:textId="77777777" w:rsidR="00774416" w:rsidRDefault="00774416" w:rsidP="00774416">
      <w:r>
        <w:t>Kenya Small Scale Farmers Alliance</w:t>
      </w:r>
    </w:p>
    <w:p w14:paraId="1FFCC21C" w14:textId="77777777" w:rsidR="00774416" w:rsidRPr="00A95A83" w:rsidRDefault="00774416" w:rsidP="00774416">
      <w:pPr>
        <w:rPr>
          <w:lang w:val="pt-BR"/>
        </w:rPr>
      </w:pPr>
      <w:r w:rsidRPr="00A95A83">
        <w:rPr>
          <w:lang w:val="pt-BR"/>
        </w:rPr>
        <w:t>LBH ANGSANA</w:t>
      </w:r>
    </w:p>
    <w:p w14:paraId="3EAF663E" w14:textId="77777777" w:rsidR="00774416" w:rsidRPr="00A95A83" w:rsidRDefault="00774416" w:rsidP="00774416">
      <w:pPr>
        <w:rPr>
          <w:lang w:val="pt-BR"/>
        </w:rPr>
      </w:pPr>
      <w:r w:rsidRPr="00A95A83">
        <w:rPr>
          <w:lang w:val="pt-BR"/>
        </w:rPr>
        <w:t>Lembaga Bentang Alam Hijau</w:t>
      </w:r>
    </w:p>
    <w:p w14:paraId="69F22998" w14:textId="77777777" w:rsidR="00774416" w:rsidRPr="00A95A83" w:rsidRDefault="00774416" w:rsidP="00774416">
      <w:pPr>
        <w:rPr>
          <w:lang w:val="es-MX"/>
        </w:rPr>
      </w:pPr>
      <w:r w:rsidRPr="00A95A83">
        <w:rPr>
          <w:lang w:val="es-MX"/>
        </w:rPr>
        <w:t>Les Amis de la Terre-Togo</w:t>
      </w:r>
    </w:p>
    <w:p w14:paraId="0A329A97" w14:textId="77777777" w:rsidR="00774416" w:rsidRPr="00A95A83" w:rsidRDefault="00774416" w:rsidP="00774416">
      <w:pPr>
        <w:rPr>
          <w:lang w:val="es-MX"/>
        </w:rPr>
      </w:pPr>
      <w:r w:rsidRPr="00A95A83">
        <w:rPr>
          <w:lang w:val="es-MX"/>
        </w:rPr>
        <w:t>Madre Brava</w:t>
      </w:r>
    </w:p>
    <w:p w14:paraId="52615BAF" w14:textId="77777777" w:rsidR="00774416" w:rsidRPr="00A95A83" w:rsidRDefault="00774416" w:rsidP="00774416">
      <w:pPr>
        <w:rPr>
          <w:lang w:val="es-MX"/>
        </w:rPr>
      </w:pPr>
      <w:proofErr w:type="spellStart"/>
      <w:r w:rsidRPr="00A95A83">
        <w:rPr>
          <w:lang w:val="es-MX"/>
        </w:rPr>
        <w:t>Mighty</w:t>
      </w:r>
      <w:proofErr w:type="spellEnd"/>
      <w:r w:rsidRPr="00A95A83">
        <w:rPr>
          <w:lang w:val="es-MX"/>
        </w:rPr>
        <w:t xml:space="preserve"> Earth</w:t>
      </w:r>
    </w:p>
    <w:p w14:paraId="7C0737B1" w14:textId="77777777" w:rsidR="00774416" w:rsidRPr="00A95A83" w:rsidRDefault="00774416" w:rsidP="00774416">
      <w:pPr>
        <w:rPr>
          <w:lang w:val="es-MX"/>
        </w:rPr>
      </w:pPr>
      <w:proofErr w:type="spellStart"/>
      <w:r w:rsidRPr="00A95A83">
        <w:rPr>
          <w:lang w:val="es-MX"/>
        </w:rPr>
        <w:t>Milieudefensie</w:t>
      </w:r>
      <w:proofErr w:type="spellEnd"/>
    </w:p>
    <w:p w14:paraId="3BF06974" w14:textId="77777777" w:rsidR="00774416" w:rsidRPr="00A95A83" w:rsidRDefault="00774416" w:rsidP="00774416">
      <w:pPr>
        <w:rPr>
          <w:lang w:val="es-MX"/>
        </w:rPr>
      </w:pPr>
      <w:r w:rsidRPr="00A95A83">
        <w:rPr>
          <w:lang w:val="es-MX"/>
        </w:rPr>
        <w:t xml:space="preserve">Movimiento </w:t>
      </w:r>
      <w:proofErr w:type="spellStart"/>
      <w:r w:rsidRPr="00A95A83">
        <w:rPr>
          <w:lang w:val="es-MX"/>
        </w:rPr>
        <w:t>Rios</w:t>
      </w:r>
      <w:proofErr w:type="spellEnd"/>
      <w:r w:rsidRPr="00A95A83">
        <w:rPr>
          <w:lang w:val="es-MX"/>
        </w:rPr>
        <w:t xml:space="preserve"> Vivos/MARBE S.A., Costa Rica</w:t>
      </w:r>
    </w:p>
    <w:p w14:paraId="110A4D34" w14:textId="77777777" w:rsidR="00774416" w:rsidRPr="00A95A83" w:rsidRDefault="00774416" w:rsidP="00774416">
      <w:pPr>
        <w:rPr>
          <w:lang w:val="es-MX"/>
        </w:rPr>
      </w:pPr>
      <w:r w:rsidRPr="00A95A83">
        <w:rPr>
          <w:lang w:val="es-MX"/>
        </w:rPr>
        <w:t xml:space="preserve">New </w:t>
      </w:r>
      <w:proofErr w:type="spellStart"/>
      <w:r w:rsidRPr="00A95A83">
        <w:rPr>
          <w:lang w:val="es-MX"/>
        </w:rPr>
        <w:t>Roots</w:t>
      </w:r>
      <w:proofErr w:type="spellEnd"/>
      <w:r w:rsidRPr="00A95A83">
        <w:rPr>
          <w:lang w:val="es-MX"/>
        </w:rPr>
        <w:t xml:space="preserve"> </w:t>
      </w:r>
      <w:proofErr w:type="spellStart"/>
      <w:r w:rsidRPr="00A95A83">
        <w:rPr>
          <w:lang w:val="es-MX"/>
        </w:rPr>
        <w:t>Institute</w:t>
      </w:r>
      <w:proofErr w:type="spellEnd"/>
    </w:p>
    <w:p w14:paraId="534070FF" w14:textId="77777777" w:rsidR="00774416" w:rsidRPr="00A95A83" w:rsidRDefault="00774416" w:rsidP="00774416">
      <w:pPr>
        <w:rPr>
          <w:lang w:val="es-MX"/>
        </w:rPr>
      </w:pPr>
      <w:r w:rsidRPr="00A95A83">
        <w:rPr>
          <w:lang w:val="es-MX"/>
        </w:rPr>
        <w:t xml:space="preserve">North Carolina </w:t>
      </w:r>
      <w:proofErr w:type="spellStart"/>
      <w:r w:rsidRPr="00A95A83">
        <w:rPr>
          <w:lang w:val="es-MX"/>
        </w:rPr>
        <w:t>Environmental</w:t>
      </w:r>
      <w:proofErr w:type="spellEnd"/>
      <w:r w:rsidRPr="00A95A83">
        <w:rPr>
          <w:lang w:val="es-MX"/>
        </w:rPr>
        <w:t xml:space="preserve"> </w:t>
      </w:r>
      <w:proofErr w:type="spellStart"/>
      <w:r w:rsidRPr="00A95A83">
        <w:rPr>
          <w:lang w:val="es-MX"/>
        </w:rPr>
        <w:t>Justice</w:t>
      </w:r>
      <w:proofErr w:type="spellEnd"/>
      <w:r w:rsidRPr="00A95A83">
        <w:rPr>
          <w:lang w:val="es-MX"/>
        </w:rPr>
        <w:t xml:space="preserve"> Network (NCEJN)</w:t>
      </w:r>
    </w:p>
    <w:p w14:paraId="6A3BCDD0" w14:textId="77777777" w:rsidR="00774416" w:rsidRDefault="00774416" w:rsidP="00774416">
      <w:r>
        <w:t>Peace Point Development Foundation-PPDF</w:t>
      </w:r>
    </w:p>
    <w:p w14:paraId="135382FA" w14:textId="77777777" w:rsidR="00774416" w:rsidRDefault="00774416" w:rsidP="00774416">
      <w:r>
        <w:t>Peoples Climate Movement - NY</w:t>
      </w:r>
    </w:p>
    <w:p w14:paraId="05D45F34" w14:textId="77777777" w:rsidR="00774416" w:rsidRDefault="00774416" w:rsidP="00774416">
      <w:r>
        <w:t>Planet Tracker</w:t>
      </w:r>
    </w:p>
    <w:p w14:paraId="3F551213" w14:textId="77777777" w:rsidR="00774416" w:rsidRDefault="00774416" w:rsidP="00774416">
      <w:r>
        <w:t>Plant Based Treaty</w:t>
      </w:r>
    </w:p>
    <w:p w14:paraId="3DA347FB" w14:textId="77777777" w:rsidR="00774416" w:rsidRDefault="00774416" w:rsidP="00774416">
      <w:r>
        <w:t>Plant-Based Health Professionals UK</w:t>
      </w:r>
    </w:p>
    <w:p w14:paraId="3C0D434C" w14:textId="77777777" w:rsidR="00774416" w:rsidRDefault="00774416" w:rsidP="00774416">
      <w:r>
        <w:t>Profundo</w:t>
      </w:r>
    </w:p>
    <w:p w14:paraId="63DB8FA7" w14:textId="77777777" w:rsidR="00774416" w:rsidRDefault="00774416" w:rsidP="00774416">
      <w:proofErr w:type="spellStart"/>
      <w:r>
        <w:t>ProVeg</w:t>
      </w:r>
      <w:proofErr w:type="spellEnd"/>
      <w:r>
        <w:t xml:space="preserve"> International</w:t>
      </w:r>
    </w:p>
    <w:p w14:paraId="7922D9B9" w14:textId="77777777" w:rsidR="00774416" w:rsidRDefault="00774416" w:rsidP="00774416">
      <w:r>
        <w:t>Rainforest Action Network</w:t>
      </w:r>
    </w:p>
    <w:p w14:paraId="4907892A" w14:textId="77777777" w:rsidR="00774416" w:rsidRDefault="00774416" w:rsidP="00774416">
      <w:r>
        <w:t>Real Food Systems Youth Network</w:t>
      </w:r>
    </w:p>
    <w:p w14:paraId="4125ECF2" w14:textId="77777777" w:rsidR="00774416" w:rsidRDefault="00774416" w:rsidP="00774416">
      <w:r>
        <w:t>Rethink Your Food</w:t>
      </w:r>
    </w:p>
    <w:p w14:paraId="66FFCDD6" w14:textId="77777777" w:rsidR="00774416" w:rsidRDefault="00774416" w:rsidP="00774416">
      <w:proofErr w:type="spellStart"/>
      <w:r>
        <w:t>Rinascimento</w:t>
      </w:r>
      <w:proofErr w:type="spellEnd"/>
      <w:r>
        <w:t xml:space="preserve"> Green</w:t>
      </w:r>
    </w:p>
    <w:p w14:paraId="7E888758" w14:textId="77777777" w:rsidR="00774416" w:rsidRDefault="00774416" w:rsidP="00774416">
      <w:r>
        <w:t>Seeding Sovereignty</w:t>
      </w:r>
    </w:p>
    <w:p w14:paraId="56BD3DCB" w14:textId="77777777" w:rsidR="00774416" w:rsidRDefault="00774416" w:rsidP="00774416">
      <w:r>
        <w:t xml:space="preserve">Sikkim indigenous </w:t>
      </w:r>
      <w:proofErr w:type="spellStart"/>
      <w:r>
        <w:t>lepcha</w:t>
      </w:r>
      <w:proofErr w:type="spellEnd"/>
      <w:r>
        <w:t xml:space="preserve"> tribal association</w:t>
      </w:r>
    </w:p>
    <w:p w14:paraId="34F87448" w14:textId="77777777" w:rsidR="00774416" w:rsidRDefault="00774416" w:rsidP="00774416">
      <w:proofErr w:type="spellStart"/>
      <w:r>
        <w:t>Sinergia</w:t>
      </w:r>
      <w:proofErr w:type="spellEnd"/>
      <w:r>
        <w:t xml:space="preserve"> Animal</w:t>
      </w:r>
    </w:p>
    <w:p w14:paraId="3A91B856" w14:textId="77777777" w:rsidR="00774416" w:rsidRDefault="00774416" w:rsidP="00774416">
      <w:r>
        <w:t>Socially Responsible Agriculture Project</w:t>
      </w:r>
    </w:p>
    <w:p w14:paraId="03598E57" w14:textId="77777777" w:rsidR="00774416" w:rsidRDefault="00774416" w:rsidP="00774416">
      <w:r>
        <w:t>Southern African Faith Communities Environment Institute, SAFCEI</w:t>
      </w:r>
    </w:p>
    <w:p w14:paraId="1DB663F1" w14:textId="77777777" w:rsidR="00774416" w:rsidRDefault="00774416" w:rsidP="00774416">
      <w:proofErr w:type="spellStart"/>
      <w:r>
        <w:t>Stand.earth</w:t>
      </w:r>
      <w:proofErr w:type="spellEnd"/>
    </w:p>
    <w:p w14:paraId="7924E133" w14:textId="77777777" w:rsidR="00774416" w:rsidRDefault="00774416" w:rsidP="00774416">
      <w:r>
        <w:t>Strategies for Ethical and Environmental Development (SEED)</w:t>
      </w:r>
    </w:p>
    <w:p w14:paraId="16E05AC4" w14:textId="77777777" w:rsidR="00774416" w:rsidRDefault="00774416" w:rsidP="00774416">
      <w:r>
        <w:t>Stray Dog Institute</w:t>
      </w:r>
    </w:p>
    <w:p w14:paraId="3806C0C9" w14:textId="77777777" w:rsidR="00774416" w:rsidRDefault="00774416" w:rsidP="00774416">
      <w:r>
        <w:t>Sustainable Holistic Development Foundation (SUHODE Foundation)</w:t>
      </w:r>
    </w:p>
    <w:p w14:paraId="761E9F9B" w14:textId="77777777" w:rsidR="00774416" w:rsidRDefault="00774416" w:rsidP="00774416">
      <w:r>
        <w:t>The Center for Social Sustainable Systems</w:t>
      </w:r>
    </w:p>
    <w:p w14:paraId="0FDDED2E" w14:textId="77777777" w:rsidR="00774416" w:rsidRDefault="00774416" w:rsidP="00774416">
      <w:r>
        <w:t>The People's Justice Council</w:t>
      </w:r>
    </w:p>
    <w:p w14:paraId="4FE0B887" w14:textId="77777777" w:rsidR="00774416" w:rsidRDefault="00774416" w:rsidP="00774416">
      <w:r>
        <w:t>Trend Asia</w:t>
      </w:r>
    </w:p>
    <w:p w14:paraId="7B14036F" w14:textId="77777777" w:rsidR="00774416" w:rsidRDefault="00774416" w:rsidP="00774416">
      <w:proofErr w:type="spellStart"/>
      <w:r>
        <w:t>Urgewald</w:t>
      </w:r>
      <w:proofErr w:type="spellEnd"/>
    </w:p>
    <w:p w14:paraId="49D4A4D9" w14:textId="77777777" w:rsidR="00774416" w:rsidRDefault="00774416" w:rsidP="00774416">
      <w:r>
        <w:t>Vegetarian Society of Denmark</w:t>
      </w:r>
    </w:p>
    <w:p w14:paraId="7DC4E57B" w14:textId="77777777" w:rsidR="00774416" w:rsidRDefault="00774416" w:rsidP="00774416">
      <w:r>
        <w:t>World Animal Protection</w:t>
      </w:r>
    </w:p>
    <w:p w14:paraId="17E133B6" w14:textId="6E3B5DAC" w:rsidR="008653EA" w:rsidRPr="008D68B3" w:rsidRDefault="008F54D1" w:rsidP="008F54D1">
      <w:pPr>
        <w:shd w:val="clear" w:color="auto" w:fill="FFFFFF"/>
        <w:rPr>
          <w:rFonts w:ascii="Calibri" w:eastAsia="Times New Roman" w:hAnsi="Calibri" w:cs="Calibri"/>
          <w:color w:val="202124"/>
          <w:kern w:val="0"/>
          <w14:ligatures w14:val="none"/>
        </w:rPr>
      </w:pPr>
      <w:r w:rsidRPr="008F54D1">
        <w:rPr>
          <w:rFonts w:ascii="Calibri" w:eastAsia="Times New Roman" w:hAnsi="Calibri" w:cs="Calibri"/>
          <w:color w:val="202124"/>
          <w:kern w:val="0"/>
          <w14:ligatures w14:val="none"/>
        </w:rPr>
        <w:t> </w:t>
      </w:r>
    </w:p>
    <w:p w14:paraId="04D8A619" w14:textId="77777777" w:rsidR="008D68B3" w:rsidRPr="008D68B3" w:rsidRDefault="008D68B3">
      <w:pPr>
        <w:rPr>
          <w:rFonts w:ascii="Calibri" w:eastAsia="Times New Roman" w:hAnsi="Calibri" w:cs="Calibri"/>
          <w:color w:val="202124"/>
          <w:kern w:val="0"/>
          <w14:ligatures w14:val="none"/>
        </w:rPr>
      </w:pPr>
      <w:r w:rsidRPr="008D68B3">
        <w:rPr>
          <w:rFonts w:ascii="Calibri" w:eastAsia="Times New Roman" w:hAnsi="Calibri" w:cs="Calibri"/>
          <w:color w:val="202124"/>
          <w:kern w:val="0"/>
          <w14:ligatures w14:val="none"/>
        </w:rPr>
        <w:br w:type="page"/>
      </w:r>
    </w:p>
    <w:p w14:paraId="345E1188" w14:textId="449AE1E3" w:rsidR="00021AAE" w:rsidRPr="008D68B3" w:rsidRDefault="00021AAE" w:rsidP="008F54D1">
      <w:pPr>
        <w:shd w:val="clear" w:color="auto" w:fill="FFFFFF"/>
        <w:rPr>
          <w:rFonts w:ascii="Calibri" w:eastAsia="Times New Roman" w:hAnsi="Calibri" w:cs="Calibri"/>
          <w:color w:val="202124"/>
          <w:kern w:val="0"/>
          <w14:ligatures w14:val="none"/>
        </w:rPr>
      </w:pPr>
      <w:r w:rsidRPr="008D68B3">
        <w:rPr>
          <w:rFonts w:ascii="Calibri" w:eastAsia="Times New Roman" w:hAnsi="Calibri" w:cs="Calibri"/>
          <w:b/>
          <w:bCs/>
          <w:color w:val="202124"/>
          <w:kern w:val="0"/>
          <w14:ligatures w14:val="none"/>
        </w:rPr>
        <w:lastRenderedPageBreak/>
        <w:t>Endnotes</w:t>
      </w:r>
      <w:r w:rsidRPr="008D68B3">
        <w:rPr>
          <w:rFonts w:ascii="Calibri" w:eastAsia="Times New Roman" w:hAnsi="Calibri" w:cs="Calibri"/>
          <w:color w:val="202124"/>
          <w:kern w:val="0"/>
          <w14:ligatures w14:val="none"/>
        </w:rPr>
        <w:t xml:space="preserve">: </w:t>
      </w:r>
    </w:p>
    <w:sectPr w:rsidR="00021AAE" w:rsidRPr="008D68B3" w:rsidSect="008439C2">
      <w:headerReference w:type="default" r:id="rId17"/>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60003" w14:textId="77777777" w:rsidR="00895880" w:rsidRDefault="00895880" w:rsidP="008F54D1">
      <w:r>
        <w:separator/>
      </w:r>
    </w:p>
  </w:endnote>
  <w:endnote w:type="continuationSeparator" w:id="0">
    <w:p w14:paraId="700FF632" w14:textId="77777777" w:rsidR="00895880" w:rsidRDefault="00895880" w:rsidP="008F54D1">
      <w:r>
        <w:continuationSeparator/>
      </w:r>
    </w:p>
  </w:endnote>
  <w:endnote w:id="1">
    <w:p w14:paraId="7319F558" w14:textId="4D811DEA" w:rsidR="004739A9" w:rsidRPr="008D68B3" w:rsidRDefault="004739A9">
      <w:pPr>
        <w:pStyle w:val="EndnoteText"/>
        <w:rPr>
          <w:rFonts w:ascii="Calibri" w:hAnsi="Calibri" w:cs="Calibri"/>
        </w:rPr>
      </w:pPr>
      <w:r w:rsidRPr="008D68B3">
        <w:rPr>
          <w:rStyle w:val="EndnoteReference"/>
          <w:rFonts w:ascii="Calibri" w:hAnsi="Calibri" w:cs="Calibri"/>
        </w:rPr>
        <w:endnoteRef/>
      </w:r>
      <w:r w:rsidRPr="008D68B3">
        <w:rPr>
          <w:rFonts w:ascii="Calibri" w:hAnsi="Calibri" w:cs="Calibri"/>
        </w:rPr>
        <w:t xml:space="preserve"> </w:t>
      </w:r>
      <w:r w:rsidRPr="008F54D1">
        <w:rPr>
          <w:rFonts w:ascii="Calibri" w:eastAsia="Times New Roman" w:hAnsi="Calibri" w:cs="Calibri"/>
          <w:color w:val="202124"/>
          <w:kern w:val="0"/>
          <w14:ligatures w14:val="none"/>
        </w:rPr>
        <w:t>Industrial livestock consume roughly </w:t>
      </w:r>
      <w:hyperlink r:id="rId1" w:history="1">
        <w:r w:rsidRPr="008F54D1">
          <w:rPr>
            <w:rFonts w:ascii="Calibri" w:eastAsia="Times New Roman" w:hAnsi="Calibri" w:cs="Calibri"/>
            <w:color w:val="1155CC"/>
            <w:kern w:val="0"/>
            <w:u w:val="single"/>
            <w14:ligatures w14:val="none"/>
          </w:rPr>
          <w:t>75% of the world's soy</w:t>
        </w:r>
      </w:hyperlink>
      <w:r w:rsidRPr="008F54D1">
        <w:rPr>
          <w:rFonts w:ascii="Calibri" w:eastAsia="Times New Roman" w:hAnsi="Calibri" w:cs="Calibri"/>
          <w:color w:val="202124"/>
          <w:kern w:val="0"/>
          <w14:ligatures w14:val="none"/>
        </w:rPr>
        <w:t> and </w:t>
      </w:r>
      <w:hyperlink r:id="rId2" w:history="1">
        <w:r w:rsidRPr="008F54D1">
          <w:rPr>
            <w:rFonts w:ascii="Calibri" w:eastAsia="Times New Roman" w:hAnsi="Calibri" w:cs="Calibri"/>
            <w:color w:val="1155CC"/>
            <w:kern w:val="0"/>
            <w:u w:val="single"/>
            <w14:ligatures w14:val="none"/>
          </w:rPr>
          <w:t>36-40% of all cereals</w:t>
        </w:r>
      </w:hyperlink>
      <w:r w:rsidRPr="008F54D1">
        <w:rPr>
          <w:rFonts w:ascii="Calibri" w:eastAsia="Times New Roman" w:hAnsi="Calibri" w:cs="Calibri"/>
          <w:color w:val="202124"/>
          <w:kern w:val="0"/>
          <w14:ligatures w14:val="none"/>
        </w:rPr>
        <w:t> but provide only </w:t>
      </w:r>
      <w:hyperlink r:id="rId3" w:history="1">
        <w:r w:rsidRPr="008F54D1">
          <w:rPr>
            <w:rFonts w:ascii="Calibri" w:eastAsia="Times New Roman" w:hAnsi="Calibri" w:cs="Calibri"/>
            <w:color w:val="1155CC"/>
            <w:kern w:val="0"/>
            <w:u w:val="single"/>
            <w14:ligatures w14:val="none"/>
          </w:rPr>
          <w:t>18% of global calories</w:t>
        </w:r>
      </w:hyperlink>
      <w:r w:rsidRPr="008F54D1">
        <w:rPr>
          <w:rFonts w:ascii="Calibri" w:eastAsia="Times New Roman" w:hAnsi="Calibri" w:cs="Calibri"/>
          <w:color w:val="202124"/>
          <w:kern w:val="0"/>
          <w14:ligatures w14:val="none"/>
        </w:rPr>
        <w:t>, leading the Food and Agriculture Organization to warn against further use of grain for animal feed. </w:t>
      </w:r>
    </w:p>
  </w:endnote>
  <w:endnote w:id="2">
    <w:p w14:paraId="56341988" w14:textId="796E1AED" w:rsidR="004739A9" w:rsidRPr="008D68B3" w:rsidRDefault="004739A9" w:rsidP="008F54D1">
      <w:pPr>
        <w:shd w:val="clear" w:color="auto" w:fill="FFFFFF"/>
        <w:rPr>
          <w:rFonts w:ascii="Calibri" w:eastAsia="Times New Roman" w:hAnsi="Calibri" w:cs="Calibri"/>
          <w:color w:val="202124"/>
          <w:kern w:val="0"/>
          <w:sz w:val="20"/>
          <w:szCs w:val="20"/>
          <w14:ligatures w14:val="none"/>
        </w:rPr>
      </w:pPr>
      <w:r w:rsidRPr="008D68B3">
        <w:rPr>
          <w:rStyle w:val="EndnoteReference"/>
          <w:rFonts w:ascii="Calibri" w:hAnsi="Calibri" w:cs="Calibri"/>
          <w:sz w:val="20"/>
          <w:szCs w:val="20"/>
        </w:rPr>
        <w:endnoteRef/>
      </w:r>
      <w:r w:rsidRPr="008D68B3">
        <w:rPr>
          <w:rFonts w:ascii="Calibri" w:hAnsi="Calibri" w:cs="Calibri"/>
          <w:sz w:val="20"/>
          <w:szCs w:val="20"/>
        </w:rPr>
        <w:t xml:space="preserve"> </w:t>
      </w:r>
      <w:r w:rsidRPr="008F54D1">
        <w:rPr>
          <w:rFonts w:ascii="Calibri" w:eastAsia="Times New Roman" w:hAnsi="Calibri" w:cs="Calibri"/>
          <w:color w:val="202124"/>
          <w:kern w:val="0"/>
          <w:sz w:val="20"/>
          <w:szCs w:val="20"/>
          <w14:ligatures w14:val="none"/>
        </w:rPr>
        <w:t>Harms of industrial livestock production include freshwater depletion, air, water, and soil pollution, violation of land and labor rights, antimicrobial resistance, the spread of infectious diseases and zoonotic pandemics, and animal cruelty. These impacts are catastrophic, and can involve regulatory, reputational, and operational risks for banks.</w:t>
      </w:r>
    </w:p>
  </w:endnote>
  <w:endnote w:id="3">
    <w:p w14:paraId="44AE938A" w14:textId="3D36BA75" w:rsidR="004739A9" w:rsidRPr="008D68B3" w:rsidRDefault="004739A9" w:rsidP="008F54D1">
      <w:pPr>
        <w:shd w:val="clear" w:color="auto" w:fill="FFFFFF"/>
        <w:rPr>
          <w:rFonts w:ascii="Calibri" w:eastAsia="Times New Roman" w:hAnsi="Calibri" w:cs="Calibri"/>
          <w:color w:val="202124"/>
          <w:kern w:val="0"/>
          <w:sz w:val="20"/>
          <w:szCs w:val="20"/>
          <w14:ligatures w14:val="none"/>
        </w:rPr>
      </w:pPr>
      <w:r w:rsidRPr="008D68B3">
        <w:rPr>
          <w:rStyle w:val="EndnoteReference"/>
          <w:rFonts w:ascii="Calibri" w:hAnsi="Calibri" w:cs="Calibri"/>
          <w:sz w:val="20"/>
          <w:szCs w:val="20"/>
        </w:rPr>
        <w:endnoteRef/>
      </w:r>
      <w:r w:rsidRPr="008D68B3">
        <w:rPr>
          <w:rFonts w:ascii="Calibri" w:hAnsi="Calibri" w:cs="Calibri"/>
          <w:sz w:val="20"/>
          <w:szCs w:val="20"/>
        </w:rPr>
        <w:t xml:space="preserve"> </w:t>
      </w:r>
      <w:r w:rsidRPr="008F54D1">
        <w:rPr>
          <w:rFonts w:ascii="Calibri" w:eastAsia="Times New Roman" w:hAnsi="Calibri" w:cs="Calibri"/>
          <w:color w:val="202124"/>
          <w:kern w:val="0"/>
          <w:sz w:val="20"/>
          <w:szCs w:val="20"/>
          <w14:ligatures w14:val="none"/>
        </w:rPr>
        <w:t>The financing and emissions-related data contained in this letter has been published in two recent reports:</w:t>
      </w:r>
      <w:r w:rsidRPr="008D68B3">
        <w:rPr>
          <w:rFonts w:ascii="Calibri" w:eastAsia="Times New Roman" w:hAnsi="Calibri" w:cs="Calibri"/>
          <w:color w:val="202124"/>
          <w:kern w:val="0"/>
          <w:sz w:val="20"/>
          <w:szCs w:val="20"/>
          <w14:ligatures w14:val="none"/>
        </w:rPr>
        <w:t xml:space="preserve"> </w:t>
      </w:r>
      <w:r w:rsidRPr="008F54D1">
        <w:rPr>
          <w:rFonts w:ascii="Calibri" w:eastAsia="Times New Roman" w:hAnsi="Calibri" w:cs="Calibri"/>
          <w:color w:val="202124"/>
          <w:kern w:val="0"/>
          <w:sz w:val="20"/>
          <w:szCs w:val="20"/>
          <w14:ligatures w14:val="none"/>
        </w:rPr>
        <w:t>Bull in the Climate Shop</w:t>
      </w:r>
      <w:r w:rsidRPr="008D68B3">
        <w:rPr>
          <w:rFonts w:ascii="Calibri" w:eastAsia="Times New Roman" w:hAnsi="Calibri" w:cs="Calibri"/>
          <w:color w:val="202124"/>
          <w:kern w:val="0"/>
          <w:sz w:val="20"/>
          <w:szCs w:val="20"/>
          <w14:ligatures w14:val="none"/>
        </w:rPr>
        <w:t xml:space="preserve">: </w:t>
      </w:r>
      <w:r w:rsidRPr="008F54D1">
        <w:rPr>
          <w:rFonts w:ascii="Calibri" w:eastAsia="Times New Roman" w:hAnsi="Calibri" w:cs="Calibri"/>
          <w:color w:val="202124"/>
          <w:kern w:val="0"/>
          <w:sz w:val="20"/>
          <w:szCs w:val="20"/>
          <w14:ligatures w14:val="none"/>
        </w:rPr>
        <w:t>Industrial livestock financing sabotages major U.S. banks’ climate commitments, Friends of the Earth U</w:t>
      </w:r>
      <w:r w:rsidRPr="008D68B3">
        <w:rPr>
          <w:rFonts w:ascii="Calibri" w:eastAsia="Times New Roman" w:hAnsi="Calibri" w:cs="Calibri"/>
          <w:color w:val="202124"/>
          <w:kern w:val="0"/>
          <w:sz w:val="20"/>
          <w:szCs w:val="20"/>
          <w14:ligatures w14:val="none"/>
        </w:rPr>
        <w:t>.</w:t>
      </w:r>
      <w:r w:rsidRPr="008F54D1">
        <w:rPr>
          <w:rFonts w:ascii="Calibri" w:eastAsia="Times New Roman" w:hAnsi="Calibri" w:cs="Calibri"/>
          <w:color w:val="202124"/>
          <w:kern w:val="0"/>
          <w:sz w:val="20"/>
          <w:szCs w:val="20"/>
          <w14:ligatures w14:val="none"/>
        </w:rPr>
        <w:t>S</w:t>
      </w:r>
      <w:r w:rsidRPr="008D68B3">
        <w:rPr>
          <w:rFonts w:ascii="Calibri" w:eastAsia="Times New Roman" w:hAnsi="Calibri" w:cs="Calibri"/>
          <w:color w:val="202124"/>
          <w:kern w:val="0"/>
          <w:sz w:val="20"/>
          <w:szCs w:val="20"/>
          <w14:ligatures w14:val="none"/>
        </w:rPr>
        <w:t>.</w:t>
      </w:r>
      <w:r w:rsidRPr="008F54D1">
        <w:rPr>
          <w:rFonts w:ascii="Calibri" w:eastAsia="Times New Roman" w:hAnsi="Calibri" w:cs="Calibri"/>
          <w:color w:val="202124"/>
          <w:kern w:val="0"/>
          <w:sz w:val="20"/>
          <w:szCs w:val="20"/>
          <w14:ligatures w14:val="none"/>
        </w:rPr>
        <w:t xml:space="preserve">, April 2024, </w:t>
      </w:r>
      <w:r w:rsidRPr="008D68B3">
        <w:rPr>
          <w:rFonts w:ascii="Calibri" w:eastAsia="Times New Roman" w:hAnsi="Calibri" w:cs="Calibri"/>
          <w:color w:val="202124"/>
          <w:kern w:val="0"/>
          <w:sz w:val="20"/>
          <w:szCs w:val="20"/>
          <w14:ligatures w14:val="none"/>
        </w:rPr>
        <w:t xml:space="preserve">available at: </w:t>
      </w:r>
      <w:hyperlink r:id="rId4" w:history="1">
        <w:r w:rsidRPr="008F54D1">
          <w:rPr>
            <w:rFonts w:ascii="Calibri" w:eastAsia="Times New Roman" w:hAnsi="Calibri" w:cs="Calibri"/>
            <w:color w:val="1155CC"/>
            <w:kern w:val="0"/>
            <w:sz w:val="20"/>
            <w:szCs w:val="20"/>
            <w:u w:val="single"/>
            <w14:ligatures w14:val="none"/>
          </w:rPr>
          <w:t>https://foe.org/resources/bull-in-the-climate-shop/</w:t>
        </w:r>
      </w:hyperlink>
      <w:r w:rsidRPr="008D68B3">
        <w:rPr>
          <w:rFonts w:ascii="Calibri" w:eastAsia="Times New Roman" w:hAnsi="Calibri" w:cs="Calibri"/>
          <w:color w:val="202124"/>
          <w:kern w:val="0"/>
          <w:sz w:val="20"/>
          <w:szCs w:val="20"/>
          <w14:ligatures w14:val="none"/>
        </w:rPr>
        <w:t xml:space="preserve"> </w:t>
      </w:r>
      <w:r w:rsidRPr="008F54D1">
        <w:rPr>
          <w:rFonts w:ascii="Calibri" w:eastAsia="Times New Roman" w:hAnsi="Calibri" w:cs="Calibri"/>
          <w:color w:val="202124"/>
          <w:kern w:val="0"/>
          <w:sz w:val="20"/>
          <w:szCs w:val="20"/>
          <w14:ligatures w14:val="none"/>
        </w:rPr>
        <w:t>and</w:t>
      </w:r>
      <w:r w:rsidRPr="008D68B3">
        <w:rPr>
          <w:rFonts w:ascii="Calibri" w:eastAsia="Times New Roman" w:hAnsi="Calibri" w:cs="Calibri"/>
          <w:color w:val="202124"/>
          <w:kern w:val="0"/>
          <w:sz w:val="20"/>
          <w:szCs w:val="20"/>
          <w14:ligatures w14:val="none"/>
        </w:rPr>
        <w:t xml:space="preserve"> </w:t>
      </w:r>
      <w:r w:rsidRPr="008F54D1">
        <w:rPr>
          <w:rFonts w:ascii="Calibri" w:eastAsia="Times New Roman" w:hAnsi="Calibri" w:cs="Calibri"/>
          <w:color w:val="202124"/>
          <w:kern w:val="0"/>
          <w:sz w:val="20"/>
          <w:szCs w:val="20"/>
          <w14:ligatures w14:val="none"/>
        </w:rPr>
        <w:t>Still Butchering the Planet, The big-name financiers bankrolling livestock corporations and climate change - 2024 update,</w:t>
      </w:r>
      <w:r w:rsidRPr="008D68B3">
        <w:rPr>
          <w:rFonts w:ascii="Calibri" w:eastAsia="Times New Roman" w:hAnsi="Calibri" w:cs="Calibri"/>
          <w:color w:val="202124"/>
          <w:kern w:val="0"/>
          <w:sz w:val="20"/>
          <w:szCs w:val="20"/>
          <w14:ligatures w14:val="none"/>
        </w:rPr>
        <w:t xml:space="preserve"> </w:t>
      </w:r>
      <w:r w:rsidRPr="008F54D1">
        <w:rPr>
          <w:rFonts w:ascii="Calibri" w:eastAsia="Times New Roman" w:hAnsi="Calibri" w:cs="Calibri"/>
          <w:color w:val="202124"/>
          <w:kern w:val="0"/>
          <w:sz w:val="20"/>
          <w:szCs w:val="20"/>
          <w14:ligatures w14:val="none"/>
        </w:rPr>
        <w:t>Feedback, March 2024, available at: </w:t>
      </w:r>
      <w:hyperlink r:id="rId5" w:history="1">
        <w:r w:rsidRPr="008F54D1">
          <w:rPr>
            <w:rFonts w:ascii="Calibri" w:eastAsia="Times New Roman" w:hAnsi="Calibri" w:cs="Calibri"/>
            <w:color w:val="1155CC"/>
            <w:kern w:val="0"/>
            <w:sz w:val="20"/>
            <w:szCs w:val="20"/>
            <w:u w:val="single"/>
            <w14:ligatures w14:val="none"/>
          </w:rPr>
          <w:t>https://feedbackglobal.org/wp-content/uploads/2024/03/Feedback-2024-Still-Butchering-the-Planet-Report.pdf</w:t>
        </w:r>
      </w:hyperlink>
      <w:r w:rsidRPr="008F54D1">
        <w:rPr>
          <w:rFonts w:ascii="Calibri" w:eastAsia="Times New Roman" w:hAnsi="Calibri" w:cs="Calibri"/>
          <w:color w:val="202124"/>
          <w:kern w:val="0"/>
          <w:sz w:val="20"/>
          <w:szCs w:val="20"/>
          <w14:ligatures w14:val="none"/>
        </w:rPr>
        <w:t>. “Bull in the Climate Shop” refers to the world’s largest 56 companies involved in industrial livestock production; “Still Butchering the Planet” refers to the world’s largest 55. The two sets of companies are identical. “Bull in the Climate Shop” refers to Sanderson Farms as an independent entity; “Still Butchering the Planet” refers to the company as a Cargill subsidiary following its 2022 acquisition by Cargill and Wayne Farms.</w:t>
      </w:r>
    </w:p>
  </w:endnote>
  <w:endnote w:id="4">
    <w:p w14:paraId="3CF67116" w14:textId="2B2A9317" w:rsidR="004739A9" w:rsidRPr="008D68B3" w:rsidRDefault="004739A9">
      <w:pPr>
        <w:pStyle w:val="EndnoteText"/>
        <w:rPr>
          <w:rFonts w:ascii="Calibri" w:hAnsi="Calibri" w:cs="Calibri"/>
        </w:rPr>
      </w:pPr>
      <w:r w:rsidRPr="008D68B3">
        <w:rPr>
          <w:rStyle w:val="EndnoteReference"/>
          <w:rFonts w:ascii="Calibri" w:hAnsi="Calibri" w:cs="Calibri"/>
        </w:rPr>
        <w:endnoteRef/>
      </w:r>
      <w:r w:rsidRPr="008D68B3">
        <w:rPr>
          <w:rFonts w:ascii="Calibri" w:hAnsi="Calibri" w:cs="Calibri"/>
        </w:rPr>
        <w:t xml:space="preserve"> </w:t>
      </w:r>
      <w:r w:rsidRPr="008F54D1">
        <w:rPr>
          <w:rFonts w:ascii="Calibri" w:eastAsia="Times New Roman" w:hAnsi="Calibri" w:cs="Calibri"/>
          <w:color w:val="202124"/>
          <w:kern w:val="0"/>
          <w14:ligatures w14:val="none"/>
        </w:rPr>
        <w:t>The total emissions using self-reported Refinitiv data is 1.14B tCO2e. Japan’s emissions were 1.06B tCO2e in 2020 using </w:t>
      </w:r>
      <w:hyperlink r:id="rId6" w:history="1">
        <w:r w:rsidRPr="008F54D1">
          <w:rPr>
            <w:rFonts w:ascii="Calibri" w:eastAsia="Times New Roman" w:hAnsi="Calibri" w:cs="Calibri"/>
            <w:color w:val="1155CC"/>
            <w:kern w:val="0"/>
            <w:u w:val="single"/>
            <w14:ligatures w14:val="none"/>
          </w:rPr>
          <w:t>https://www.climatewatchdata.org</w:t>
        </w:r>
      </w:hyperlink>
      <w:r w:rsidRPr="008F54D1">
        <w:rPr>
          <w:rFonts w:ascii="Calibri" w:eastAsia="Times New Roman" w:hAnsi="Calibri" w:cs="Calibri"/>
          <w:color w:val="202124"/>
          <w:kern w:val="0"/>
          <w14:ligatures w14:val="none"/>
        </w:rPr>
        <w:t> (viewed February 27, 2024).</w:t>
      </w:r>
    </w:p>
  </w:endnote>
  <w:endnote w:id="5">
    <w:p w14:paraId="29ADB3AA" w14:textId="156B2BFD" w:rsidR="004739A9" w:rsidRPr="008D68B3" w:rsidRDefault="004739A9">
      <w:pPr>
        <w:pStyle w:val="EndnoteText"/>
        <w:rPr>
          <w:rFonts w:ascii="Calibri" w:hAnsi="Calibri" w:cs="Calibri"/>
        </w:rPr>
      </w:pPr>
      <w:r w:rsidRPr="008D68B3">
        <w:rPr>
          <w:rStyle w:val="EndnoteReference"/>
          <w:rFonts w:ascii="Calibri" w:hAnsi="Calibri" w:cs="Calibri"/>
        </w:rPr>
        <w:endnoteRef/>
      </w:r>
      <w:r w:rsidRPr="008D68B3">
        <w:rPr>
          <w:rFonts w:ascii="Calibri" w:hAnsi="Calibri" w:cs="Calibri"/>
        </w:rPr>
        <w:t xml:space="preserve"> </w:t>
      </w:r>
      <w:r w:rsidRPr="008F54D1">
        <w:rPr>
          <w:rFonts w:ascii="Calibri" w:eastAsia="Times New Roman" w:hAnsi="Calibri" w:cs="Calibri"/>
          <w:color w:val="202124"/>
          <w:kern w:val="0"/>
          <w14:ligatures w14:val="none"/>
        </w:rPr>
        <w:t>Friends of the Earth U.S., Bull in the Climate Shop: Industrial livestock financing sabotages major U.S. banks’ climate commitments, April 2024, available at:</w:t>
      </w:r>
      <w:hyperlink r:id="rId7" w:history="1">
        <w:r w:rsidRPr="008F54D1">
          <w:rPr>
            <w:rFonts w:ascii="Calibri" w:eastAsia="Times New Roman" w:hAnsi="Calibri" w:cs="Calibri"/>
            <w:color w:val="1155CC"/>
            <w:kern w:val="0"/>
            <w:u w:val="single"/>
            <w14:ligatures w14:val="none"/>
          </w:rPr>
          <w:t> </w:t>
        </w:r>
      </w:hyperlink>
      <w:hyperlink r:id="rId8" w:history="1">
        <w:r w:rsidRPr="008F54D1">
          <w:rPr>
            <w:rFonts w:ascii="Calibri" w:eastAsia="Times New Roman" w:hAnsi="Calibri" w:cs="Calibri"/>
            <w:color w:val="1155CC"/>
            <w:kern w:val="0"/>
            <w:u w:val="single"/>
            <w14:ligatures w14:val="none"/>
          </w:rPr>
          <w:t>https://foe.org/resources/bull-in-the-climate-shop/</w:t>
        </w:r>
      </w:hyperlink>
      <w:r w:rsidRPr="008F54D1">
        <w:rPr>
          <w:rFonts w:ascii="Calibri" w:eastAsia="Times New Roman" w:hAnsi="Calibri" w:cs="Calibri"/>
          <w:color w:val="202124"/>
          <w:kern w:val="0"/>
          <w14:ligatures w14:val="none"/>
        </w:rPr>
        <w:t> (researchers calculated that meat and dairy corporations’ actual emissions may be up to 4X higher than self-reported figures)</w:t>
      </w:r>
      <w:r w:rsidRPr="008D68B3">
        <w:rPr>
          <w:rFonts w:ascii="Calibri" w:eastAsia="Times New Roman" w:hAnsi="Calibri" w:cs="Calibri"/>
          <w:color w:val="202124"/>
          <w:kern w:val="0"/>
          <w14:ligatures w14:val="none"/>
        </w:rPr>
        <w:t>.</w:t>
      </w:r>
    </w:p>
  </w:endnote>
  <w:endnote w:id="6">
    <w:p w14:paraId="524F1308" w14:textId="259CE990" w:rsidR="004739A9" w:rsidRPr="008D68B3" w:rsidRDefault="004739A9" w:rsidP="008F54D1">
      <w:pPr>
        <w:shd w:val="clear" w:color="auto" w:fill="FFFFFF"/>
        <w:rPr>
          <w:rFonts w:ascii="Calibri" w:eastAsia="Times New Roman" w:hAnsi="Calibri" w:cs="Calibri"/>
          <w:color w:val="202124"/>
          <w:kern w:val="0"/>
          <w:sz w:val="20"/>
          <w:szCs w:val="20"/>
          <w14:ligatures w14:val="none"/>
        </w:rPr>
      </w:pPr>
      <w:r w:rsidRPr="008D68B3">
        <w:rPr>
          <w:rStyle w:val="EndnoteReference"/>
          <w:rFonts w:ascii="Calibri" w:hAnsi="Calibri" w:cs="Calibri"/>
          <w:sz w:val="20"/>
          <w:szCs w:val="20"/>
        </w:rPr>
        <w:endnoteRef/>
      </w:r>
      <w:r w:rsidRPr="008D68B3">
        <w:rPr>
          <w:rFonts w:ascii="Calibri" w:hAnsi="Calibri" w:cs="Calibri"/>
          <w:sz w:val="20"/>
          <w:szCs w:val="20"/>
        </w:rPr>
        <w:t xml:space="preserve"> </w:t>
      </w:r>
      <w:r w:rsidRPr="008F54D1">
        <w:rPr>
          <w:rFonts w:ascii="Calibri" w:eastAsia="Times New Roman" w:hAnsi="Calibri" w:cs="Calibri"/>
          <w:color w:val="202124"/>
          <w:kern w:val="0"/>
          <w:sz w:val="20"/>
          <w:szCs w:val="20"/>
          <w14:ligatures w14:val="none"/>
        </w:rPr>
        <w:t>More than half of the 56 largest meat, dairy, and feed corporations do not report their emissions and those that do, do not report all emissions—only 22% report on Scope 3 emissions.</w:t>
      </w:r>
    </w:p>
  </w:endnote>
  <w:endnote w:id="7">
    <w:p w14:paraId="0C6D4371" w14:textId="154D501E" w:rsidR="004739A9" w:rsidRPr="008D68B3" w:rsidRDefault="004739A9" w:rsidP="008F54D1">
      <w:pPr>
        <w:shd w:val="clear" w:color="auto" w:fill="FFFFFF"/>
        <w:rPr>
          <w:rFonts w:ascii="Calibri" w:eastAsia="Times New Roman" w:hAnsi="Calibri" w:cs="Calibri"/>
          <w:color w:val="202124"/>
          <w:kern w:val="0"/>
          <w:sz w:val="20"/>
          <w:szCs w:val="20"/>
          <w14:ligatures w14:val="none"/>
        </w:rPr>
      </w:pPr>
      <w:r w:rsidRPr="008D68B3">
        <w:rPr>
          <w:rStyle w:val="EndnoteReference"/>
          <w:rFonts w:ascii="Calibri" w:hAnsi="Calibri" w:cs="Calibri"/>
          <w:sz w:val="20"/>
          <w:szCs w:val="20"/>
        </w:rPr>
        <w:endnoteRef/>
      </w:r>
      <w:r w:rsidRPr="008D68B3">
        <w:rPr>
          <w:rFonts w:ascii="Calibri" w:hAnsi="Calibri" w:cs="Calibri"/>
          <w:sz w:val="20"/>
          <w:szCs w:val="20"/>
        </w:rPr>
        <w:t xml:space="preserve"> See e.g., </w:t>
      </w:r>
      <w:r w:rsidRPr="008F54D1">
        <w:rPr>
          <w:rFonts w:ascii="Calibri" w:eastAsia="Times New Roman" w:hAnsi="Calibri" w:cs="Calibri"/>
          <w:color w:val="202124"/>
          <w:kern w:val="0"/>
          <w:sz w:val="20"/>
          <w:szCs w:val="20"/>
          <w14:ligatures w14:val="none"/>
        </w:rPr>
        <w:t>Still Butchering the Planet, The big-name financiers bankrolling livestock corporations and climate change - 2024 update, Feedback, March 2024, available at: </w:t>
      </w:r>
      <w:hyperlink r:id="rId9" w:history="1">
        <w:r w:rsidRPr="008F54D1">
          <w:rPr>
            <w:rFonts w:ascii="Calibri" w:eastAsia="Times New Roman" w:hAnsi="Calibri" w:cs="Calibri"/>
            <w:color w:val="1155CC"/>
            <w:kern w:val="0"/>
            <w:sz w:val="20"/>
            <w:szCs w:val="20"/>
            <w:u w:val="single"/>
            <w14:ligatures w14:val="none"/>
          </w:rPr>
          <w:t>https://feedbackglobal.org/wp-content/uploads/2024/03/Feedback-2024-Still-Butchering-the-Planet-Report.pdf</w:t>
        </w:r>
      </w:hyperlink>
      <w:r w:rsidRPr="008D68B3">
        <w:rPr>
          <w:rFonts w:ascii="Calibri" w:eastAsia="Times New Roman" w:hAnsi="Calibri" w:cs="Calibri"/>
          <w:color w:val="202124"/>
          <w:kern w:val="0"/>
          <w:sz w:val="20"/>
          <w:szCs w:val="20"/>
          <w14:ligatures w14:val="none"/>
        </w:rPr>
        <w:t xml:space="preserve"> (</w:t>
      </w:r>
      <w:r w:rsidRPr="008F54D1">
        <w:rPr>
          <w:rFonts w:ascii="Calibri" w:eastAsia="Times New Roman" w:hAnsi="Calibri" w:cs="Calibri"/>
          <w:color w:val="202124"/>
          <w:kern w:val="0"/>
          <w:sz w:val="20"/>
          <w:szCs w:val="20"/>
          <w14:ligatures w14:val="none"/>
        </w:rPr>
        <w:t>Between 2015 and 2022, the biggest global creditors to the top 55 largest livestock companies were Bank of America ($28.8 billion), followed by Barclays ($28.2 billion)</w:t>
      </w:r>
      <w:r w:rsidRPr="008D68B3">
        <w:rPr>
          <w:rFonts w:ascii="Calibri" w:eastAsia="Times New Roman" w:hAnsi="Calibri" w:cs="Calibri"/>
          <w:color w:val="202124"/>
          <w:kern w:val="0"/>
          <w:sz w:val="20"/>
          <w:szCs w:val="20"/>
          <w14:ligatures w14:val="none"/>
        </w:rPr>
        <w:t>,</w:t>
      </w:r>
      <w:r w:rsidRPr="008F54D1">
        <w:rPr>
          <w:rFonts w:ascii="Calibri" w:eastAsia="Times New Roman" w:hAnsi="Calibri" w:cs="Calibri"/>
          <w:color w:val="202124"/>
          <w:kern w:val="0"/>
          <w:sz w:val="20"/>
          <w:szCs w:val="20"/>
          <w14:ligatures w14:val="none"/>
        </w:rPr>
        <w:t xml:space="preserve"> and JPMorgan Chase ($26.7 billion). HSBC was the biggest underwriter of bond issuances for the world’s largest livestock companies and Rabobank was the biggest provider of corporate loans.</w:t>
      </w:r>
      <w:r w:rsidR="005E1A25">
        <w:rPr>
          <w:rFonts w:ascii="Calibri" w:eastAsia="Times New Roman" w:hAnsi="Calibri" w:cs="Calibri"/>
          <w:color w:val="202124"/>
          <w:kern w:val="0"/>
          <w:sz w:val="20"/>
          <w:szCs w:val="20"/>
          <w14:ligatures w14:val="none"/>
        </w:rPr>
        <w:t>).</w:t>
      </w:r>
    </w:p>
  </w:endnote>
  <w:endnote w:id="8">
    <w:p w14:paraId="627C36FD" w14:textId="17AAFEFA" w:rsidR="004739A9" w:rsidRPr="008D68B3" w:rsidRDefault="004739A9" w:rsidP="008F54D1">
      <w:pPr>
        <w:shd w:val="clear" w:color="auto" w:fill="FFFFFF"/>
        <w:rPr>
          <w:rFonts w:ascii="Calibri" w:eastAsia="Times New Roman" w:hAnsi="Calibri" w:cs="Calibri"/>
          <w:color w:val="202124"/>
          <w:kern w:val="0"/>
          <w:sz w:val="20"/>
          <w:szCs w:val="20"/>
          <w14:ligatures w14:val="none"/>
        </w:rPr>
      </w:pPr>
      <w:r w:rsidRPr="008D68B3">
        <w:rPr>
          <w:rStyle w:val="EndnoteReference"/>
          <w:rFonts w:ascii="Calibri" w:hAnsi="Calibri" w:cs="Calibri"/>
          <w:sz w:val="20"/>
          <w:szCs w:val="20"/>
        </w:rPr>
        <w:endnoteRef/>
      </w:r>
      <w:r w:rsidRPr="008D68B3">
        <w:rPr>
          <w:rFonts w:ascii="Calibri" w:hAnsi="Calibri" w:cs="Calibri"/>
          <w:sz w:val="20"/>
          <w:szCs w:val="20"/>
        </w:rPr>
        <w:t xml:space="preserve"> </w:t>
      </w:r>
      <w:r w:rsidRPr="008F54D1">
        <w:rPr>
          <w:rFonts w:ascii="Calibri" w:eastAsia="Times New Roman" w:hAnsi="Calibri" w:cs="Calibri"/>
          <w:color w:val="202124"/>
          <w:kern w:val="0"/>
          <w:sz w:val="20"/>
          <w:szCs w:val="20"/>
          <w14:ligatures w14:val="none"/>
        </w:rPr>
        <w:t>Specifically, a) no issuance of new corporate or project-based financing or revolving credit facilities to corporations involved in meat, dairy, and/or feed production; b) no renewals of any such exiting loans or facilities; c) no underwriting of bonds, initial public offerings, or secondary offerings; and d) no investment in publicly traded securities.</w:t>
      </w:r>
    </w:p>
  </w:endnote>
  <w:endnote w:id="9">
    <w:p w14:paraId="683D8EDB" w14:textId="33CABE64" w:rsidR="004739A9" w:rsidRPr="008D68B3" w:rsidRDefault="004739A9" w:rsidP="008F54D1">
      <w:pPr>
        <w:shd w:val="clear" w:color="auto" w:fill="FFFFFF"/>
        <w:rPr>
          <w:rFonts w:ascii="Calibri" w:eastAsia="Times New Roman" w:hAnsi="Calibri" w:cs="Calibri"/>
          <w:color w:val="202124"/>
          <w:kern w:val="0"/>
          <w:sz w:val="20"/>
          <w:szCs w:val="20"/>
          <w14:ligatures w14:val="none"/>
        </w:rPr>
      </w:pPr>
      <w:r w:rsidRPr="008D68B3">
        <w:rPr>
          <w:rStyle w:val="EndnoteReference"/>
          <w:rFonts w:ascii="Calibri" w:hAnsi="Calibri" w:cs="Calibri"/>
          <w:sz w:val="20"/>
          <w:szCs w:val="20"/>
        </w:rPr>
        <w:endnoteRef/>
      </w:r>
      <w:r w:rsidRPr="008D68B3">
        <w:rPr>
          <w:rFonts w:ascii="Calibri" w:hAnsi="Calibri" w:cs="Calibri"/>
          <w:sz w:val="20"/>
          <w:szCs w:val="20"/>
        </w:rPr>
        <w:t xml:space="preserve"> </w:t>
      </w:r>
      <w:r w:rsidRPr="008F54D1">
        <w:rPr>
          <w:rFonts w:ascii="Calibri" w:eastAsia="Times New Roman" w:hAnsi="Calibri" w:cs="Calibri"/>
          <w:color w:val="202124"/>
          <w:kern w:val="0"/>
          <w:sz w:val="20"/>
          <w:szCs w:val="20"/>
          <w14:ligatures w14:val="none"/>
        </w:rPr>
        <w:t>At a minimum, banks should require that these clients a) disclose 100% of their disaggregated (CH4, CO2, N2O) greenhouse gas (GHG) emissions across all Scopes (1-3)</w:t>
      </w:r>
      <w:r w:rsidRPr="008D68B3">
        <w:rPr>
          <w:rFonts w:ascii="Calibri" w:eastAsia="Times New Roman" w:hAnsi="Calibri" w:cs="Calibri"/>
          <w:color w:val="202124"/>
          <w:kern w:val="0"/>
          <w:sz w:val="20"/>
          <w:szCs w:val="20"/>
          <w14:ligatures w14:val="none"/>
        </w:rPr>
        <w:t>;</w:t>
      </w:r>
      <w:r w:rsidRPr="008F54D1">
        <w:rPr>
          <w:rFonts w:ascii="Calibri" w:eastAsia="Times New Roman" w:hAnsi="Calibri" w:cs="Calibri"/>
          <w:color w:val="202124"/>
          <w:kern w:val="0"/>
          <w:sz w:val="20"/>
          <w:szCs w:val="20"/>
          <w14:ligatures w14:val="none"/>
        </w:rPr>
        <w:t xml:space="preserve"> b) set an disclose near- and long-term timebound absolute reduction targets for CH4, Co2, and N2O</w:t>
      </w:r>
      <w:r w:rsidRPr="008D68B3">
        <w:rPr>
          <w:rFonts w:ascii="Calibri" w:eastAsia="Times New Roman" w:hAnsi="Calibri" w:cs="Calibri"/>
          <w:color w:val="202124"/>
          <w:kern w:val="0"/>
          <w:sz w:val="20"/>
          <w:szCs w:val="20"/>
          <w14:ligatures w14:val="none"/>
        </w:rPr>
        <w:t xml:space="preserve">; </w:t>
      </w:r>
      <w:r w:rsidRPr="008F54D1">
        <w:rPr>
          <w:rFonts w:ascii="Calibri" w:eastAsia="Times New Roman" w:hAnsi="Calibri" w:cs="Calibri"/>
          <w:color w:val="202124"/>
          <w:kern w:val="0"/>
          <w:sz w:val="20"/>
          <w:szCs w:val="20"/>
          <w14:ligatures w14:val="none"/>
        </w:rPr>
        <w:t>c) prioritize the reduction of CH4 and adopt absolute CH4 emissions reductions of at least 30% from 2020 levels by 203</w:t>
      </w:r>
      <w:r w:rsidRPr="008D68B3">
        <w:rPr>
          <w:rFonts w:ascii="Calibri" w:eastAsia="Times New Roman" w:hAnsi="Calibri" w:cs="Calibri"/>
          <w:color w:val="202124"/>
          <w:kern w:val="0"/>
          <w:sz w:val="20"/>
          <w:szCs w:val="20"/>
          <w14:ligatures w14:val="none"/>
        </w:rPr>
        <w:t xml:space="preserve">0; </w:t>
      </w:r>
      <w:r w:rsidRPr="008F54D1">
        <w:rPr>
          <w:rFonts w:ascii="Calibri" w:eastAsia="Times New Roman" w:hAnsi="Calibri" w:cs="Calibri"/>
          <w:color w:val="202124"/>
          <w:kern w:val="0"/>
          <w:sz w:val="20"/>
          <w:szCs w:val="20"/>
          <w14:ligatures w14:val="none"/>
        </w:rPr>
        <w:t>and d) achieve emissions reductions by reducing the number of animals in global supply chains and without reliance on carbon offsets, credits, or similar mechanisms.</w:t>
      </w:r>
    </w:p>
  </w:endnote>
  <w:endnote w:id="10">
    <w:p w14:paraId="2EC75C3C" w14:textId="42B8D23E" w:rsidR="004739A9" w:rsidRPr="008D68B3" w:rsidRDefault="004739A9" w:rsidP="008F54D1">
      <w:pPr>
        <w:shd w:val="clear" w:color="auto" w:fill="FFFFFF"/>
        <w:rPr>
          <w:rFonts w:ascii="Calibri" w:eastAsia="Times New Roman" w:hAnsi="Calibri" w:cs="Calibri"/>
          <w:color w:val="202124"/>
          <w:kern w:val="0"/>
          <w:sz w:val="20"/>
          <w:szCs w:val="20"/>
          <w14:ligatures w14:val="none"/>
        </w:rPr>
      </w:pPr>
      <w:r w:rsidRPr="008D68B3">
        <w:rPr>
          <w:rStyle w:val="EndnoteReference"/>
          <w:rFonts w:ascii="Calibri" w:hAnsi="Calibri" w:cs="Calibri"/>
          <w:sz w:val="20"/>
          <w:szCs w:val="20"/>
        </w:rPr>
        <w:endnoteRef/>
      </w:r>
      <w:r w:rsidRPr="008D68B3">
        <w:rPr>
          <w:rFonts w:ascii="Calibri" w:hAnsi="Calibri" w:cs="Calibri"/>
          <w:sz w:val="20"/>
          <w:szCs w:val="20"/>
        </w:rPr>
        <w:t xml:space="preserve"> </w:t>
      </w:r>
      <w:r w:rsidRPr="008F54D1">
        <w:rPr>
          <w:rFonts w:ascii="Calibri" w:eastAsia="Times New Roman" w:hAnsi="Calibri" w:cs="Calibri"/>
          <w:color w:val="202124"/>
          <w:kern w:val="0"/>
          <w:sz w:val="20"/>
          <w:szCs w:val="20"/>
          <w14:ligatures w14:val="none"/>
        </w:rPr>
        <w:t xml:space="preserve">This would be done by requiring meat, dairy, animal feed, food processing, and </w:t>
      </w:r>
      <w:r w:rsidRPr="008F54D1">
        <w:rPr>
          <w:rFonts w:ascii="Calibri" w:eastAsia="Times New Roman" w:hAnsi="Calibri" w:cs="Calibri"/>
          <w:color w:val="202124"/>
          <w:kern w:val="0"/>
          <w:sz w:val="20"/>
          <w:szCs w:val="20"/>
          <w14:ligatures w14:val="none"/>
        </w:rPr>
        <w:t>agri-commodity clients (at the corporate group level) to a) halt deforestation and biodiversity loss; b) respect human and labor rights, including the rights of Indigenous Peoples and local communities, as well as the right to Free, Prior, and Informed Consent; c) enact zero tolerance for violence against human rights, land, and environmental defenders; d) establish a robust grievance mechanisms; and e) adopt strong animal welfare criteria.</w:t>
      </w:r>
    </w:p>
  </w:endnote>
  <w:endnote w:id="11">
    <w:p w14:paraId="1A691219" w14:textId="42B4585B" w:rsidR="004739A9" w:rsidRPr="008D68B3" w:rsidRDefault="004739A9">
      <w:pPr>
        <w:pStyle w:val="EndnoteText"/>
        <w:rPr>
          <w:rFonts w:ascii="Calibri" w:hAnsi="Calibri" w:cs="Calibri"/>
        </w:rPr>
      </w:pPr>
      <w:r w:rsidRPr="008D68B3">
        <w:rPr>
          <w:rStyle w:val="EndnoteReference"/>
          <w:rFonts w:ascii="Calibri" w:hAnsi="Calibri" w:cs="Calibri"/>
        </w:rPr>
        <w:endnoteRef/>
      </w:r>
      <w:r w:rsidRPr="008D68B3">
        <w:rPr>
          <w:rFonts w:ascii="Calibri" w:hAnsi="Calibri" w:cs="Calibri"/>
        </w:rPr>
        <w:t xml:space="preserve"> </w:t>
      </w:r>
      <w:r w:rsidRPr="008F54D1">
        <w:rPr>
          <w:rFonts w:ascii="Calibri" w:eastAsia="Times New Roman" w:hAnsi="Calibri" w:cs="Calibri"/>
          <w:color w:val="202124"/>
          <w:kern w:val="0"/>
          <w14:ligatures w14:val="none"/>
        </w:rPr>
        <w:t>Financing from the Big Three between 2016 and 2023 totaled at least US$74 billion – equivalent to 27.3 billion pounds of coal burned or the exhaust emissions from 5.4 million cars over the course of a year.</w:t>
      </w:r>
    </w:p>
  </w:endnote>
  <w:endnote w:id="12">
    <w:p w14:paraId="0C86C593" w14:textId="056AF64B" w:rsidR="004739A9" w:rsidRPr="008D68B3" w:rsidRDefault="004739A9">
      <w:pPr>
        <w:pStyle w:val="EndnoteText"/>
        <w:rPr>
          <w:rFonts w:ascii="Calibri" w:hAnsi="Calibri" w:cs="Calibri"/>
        </w:rPr>
      </w:pPr>
      <w:r w:rsidRPr="008D68B3">
        <w:rPr>
          <w:rStyle w:val="EndnoteReference"/>
          <w:rFonts w:ascii="Calibri" w:hAnsi="Calibri" w:cs="Calibri"/>
        </w:rPr>
        <w:endnoteRef/>
      </w:r>
      <w:r w:rsidRPr="008D68B3">
        <w:rPr>
          <w:rFonts w:ascii="Calibri" w:hAnsi="Calibri" w:cs="Calibri"/>
        </w:rPr>
        <w:t xml:space="preserve"> </w:t>
      </w:r>
      <w:r w:rsidRPr="008F54D1">
        <w:rPr>
          <w:rFonts w:ascii="Calibri" w:eastAsia="Times New Roman" w:hAnsi="Calibri" w:cs="Calibri"/>
          <w:color w:val="202124"/>
          <w:kern w:val="0"/>
          <w14:ligatures w14:val="none"/>
        </w:rPr>
        <w:t>These companies account for the bulk of financed emissions (Bank of America, 76%; Citigroup, 92%</w:t>
      </w:r>
      <w:r w:rsidR="00105588">
        <w:rPr>
          <w:rFonts w:ascii="Calibri" w:eastAsia="Times New Roman" w:hAnsi="Calibri" w:cs="Calibri"/>
          <w:color w:val="202124"/>
          <w:kern w:val="0"/>
          <w14:ligatures w14:val="none"/>
        </w:rPr>
        <w:t>;</w:t>
      </w:r>
      <w:r w:rsidRPr="008F54D1">
        <w:rPr>
          <w:rFonts w:ascii="Calibri" w:eastAsia="Times New Roman" w:hAnsi="Calibri" w:cs="Calibri"/>
          <w:color w:val="202124"/>
          <w:kern w:val="0"/>
          <w14:ligatures w14:val="none"/>
        </w:rPr>
        <w:t xml:space="preserve"> and JPMorgan Chase, 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3D1BF" w14:textId="77777777" w:rsidR="00895880" w:rsidRDefault="00895880" w:rsidP="008F54D1">
      <w:r>
        <w:separator/>
      </w:r>
    </w:p>
  </w:footnote>
  <w:footnote w:type="continuationSeparator" w:id="0">
    <w:p w14:paraId="1F5FB525" w14:textId="77777777" w:rsidR="00895880" w:rsidRDefault="00895880" w:rsidP="008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Calibri" w:hAnsi="Calibri" w:cs="Calibri"/>
        <w:sz w:val="18"/>
        <w:szCs w:val="18"/>
      </w:rPr>
    </w:sdtEndPr>
    <w:sdtContent>
      <w:p w14:paraId="5C45B5DC" w14:textId="77777777" w:rsidR="008439C2" w:rsidRPr="008439C2" w:rsidRDefault="008439C2">
        <w:pPr>
          <w:pStyle w:val="Header"/>
          <w:jc w:val="right"/>
          <w:rPr>
            <w:rFonts w:ascii="Calibri" w:hAnsi="Calibri" w:cs="Calibri"/>
            <w:sz w:val="18"/>
            <w:szCs w:val="18"/>
          </w:rPr>
        </w:pPr>
        <w:r w:rsidRPr="008439C2">
          <w:rPr>
            <w:rFonts w:ascii="Calibri" w:hAnsi="Calibri" w:cs="Calibri"/>
            <w:sz w:val="18"/>
            <w:szCs w:val="18"/>
          </w:rPr>
          <w:t xml:space="preserve">Page </w:t>
        </w:r>
        <w:r w:rsidRPr="008439C2">
          <w:rPr>
            <w:rFonts w:ascii="Calibri" w:hAnsi="Calibri" w:cs="Calibri"/>
            <w:b/>
            <w:bCs/>
            <w:sz w:val="18"/>
            <w:szCs w:val="18"/>
          </w:rPr>
          <w:fldChar w:fldCharType="begin"/>
        </w:r>
        <w:r w:rsidRPr="008439C2">
          <w:rPr>
            <w:rFonts w:ascii="Calibri" w:hAnsi="Calibri" w:cs="Calibri"/>
            <w:b/>
            <w:bCs/>
            <w:sz w:val="18"/>
            <w:szCs w:val="18"/>
          </w:rPr>
          <w:instrText xml:space="preserve"> PAGE </w:instrText>
        </w:r>
        <w:r w:rsidRPr="008439C2">
          <w:rPr>
            <w:rFonts w:ascii="Calibri" w:hAnsi="Calibri" w:cs="Calibri"/>
            <w:b/>
            <w:bCs/>
            <w:sz w:val="18"/>
            <w:szCs w:val="18"/>
          </w:rPr>
          <w:fldChar w:fldCharType="separate"/>
        </w:r>
        <w:r w:rsidRPr="008439C2">
          <w:rPr>
            <w:rFonts w:ascii="Calibri" w:hAnsi="Calibri" w:cs="Calibri"/>
            <w:b/>
            <w:bCs/>
            <w:noProof/>
            <w:sz w:val="18"/>
            <w:szCs w:val="18"/>
          </w:rPr>
          <w:t>2</w:t>
        </w:r>
        <w:r w:rsidRPr="008439C2">
          <w:rPr>
            <w:rFonts w:ascii="Calibri" w:hAnsi="Calibri" w:cs="Calibri"/>
            <w:b/>
            <w:bCs/>
            <w:sz w:val="18"/>
            <w:szCs w:val="18"/>
          </w:rPr>
          <w:fldChar w:fldCharType="end"/>
        </w:r>
        <w:r w:rsidRPr="008439C2">
          <w:rPr>
            <w:rFonts w:ascii="Calibri" w:hAnsi="Calibri" w:cs="Calibri"/>
            <w:sz w:val="18"/>
            <w:szCs w:val="18"/>
          </w:rPr>
          <w:t xml:space="preserve"> of </w:t>
        </w:r>
        <w:r w:rsidRPr="008439C2">
          <w:rPr>
            <w:rFonts w:ascii="Calibri" w:hAnsi="Calibri" w:cs="Calibri"/>
            <w:b/>
            <w:bCs/>
            <w:sz w:val="18"/>
            <w:szCs w:val="18"/>
          </w:rPr>
          <w:fldChar w:fldCharType="begin"/>
        </w:r>
        <w:r w:rsidRPr="008439C2">
          <w:rPr>
            <w:rFonts w:ascii="Calibri" w:hAnsi="Calibri" w:cs="Calibri"/>
            <w:b/>
            <w:bCs/>
            <w:sz w:val="18"/>
            <w:szCs w:val="18"/>
          </w:rPr>
          <w:instrText xml:space="preserve"> NUMPAGES  </w:instrText>
        </w:r>
        <w:r w:rsidRPr="008439C2">
          <w:rPr>
            <w:rFonts w:ascii="Calibri" w:hAnsi="Calibri" w:cs="Calibri"/>
            <w:b/>
            <w:bCs/>
            <w:sz w:val="18"/>
            <w:szCs w:val="18"/>
          </w:rPr>
          <w:fldChar w:fldCharType="separate"/>
        </w:r>
        <w:r w:rsidRPr="008439C2">
          <w:rPr>
            <w:rFonts w:ascii="Calibri" w:hAnsi="Calibri" w:cs="Calibri"/>
            <w:b/>
            <w:bCs/>
            <w:noProof/>
            <w:sz w:val="18"/>
            <w:szCs w:val="18"/>
          </w:rPr>
          <w:t>2</w:t>
        </w:r>
        <w:r w:rsidRPr="008439C2">
          <w:rPr>
            <w:rFonts w:ascii="Calibri" w:hAnsi="Calibri" w:cs="Calibri"/>
            <w:b/>
            <w:bCs/>
            <w:sz w:val="18"/>
            <w:szCs w:val="18"/>
          </w:rPr>
          <w:fldChar w:fldCharType="end"/>
        </w:r>
      </w:p>
    </w:sdtContent>
  </w:sdt>
  <w:p w14:paraId="66385460" w14:textId="77777777" w:rsidR="008439C2" w:rsidRDefault="00843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E503A"/>
    <w:multiLevelType w:val="hybridMultilevel"/>
    <w:tmpl w:val="27A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93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D1"/>
    <w:rsid w:val="00021AAE"/>
    <w:rsid w:val="0003367B"/>
    <w:rsid w:val="0004296E"/>
    <w:rsid w:val="00096115"/>
    <w:rsid w:val="00105588"/>
    <w:rsid w:val="001954FF"/>
    <w:rsid w:val="0032231E"/>
    <w:rsid w:val="004739A9"/>
    <w:rsid w:val="00594A5F"/>
    <w:rsid w:val="005E1A25"/>
    <w:rsid w:val="005E47A1"/>
    <w:rsid w:val="00630B65"/>
    <w:rsid w:val="00774416"/>
    <w:rsid w:val="008439C2"/>
    <w:rsid w:val="008653EA"/>
    <w:rsid w:val="00895880"/>
    <w:rsid w:val="008D68B3"/>
    <w:rsid w:val="008F54D1"/>
    <w:rsid w:val="00916F38"/>
    <w:rsid w:val="00AC6A16"/>
    <w:rsid w:val="00EA6AD3"/>
    <w:rsid w:val="00EE3AF0"/>
    <w:rsid w:val="00FE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4510"/>
  <w15:chartTrackingRefBased/>
  <w15:docId w15:val="{80E78876-337E-47CF-8892-00855D53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Light" w:eastAsiaTheme="minorHAnsi" w:hAnsi="Calibri Light"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4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4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54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54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54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54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54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4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4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4D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4D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54D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54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54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54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54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54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4D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4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54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54D1"/>
    <w:rPr>
      <w:i/>
      <w:iCs/>
      <w:color w:val="404040" w:themeColor="text1" w:themeTint="BF"/>
    </w:rPr>
  </w:style>
  <w:style w:type="paragraph" w:styleId="ListParagraph">
    <w:name w:val="List Paragraph"/>
    <w:basedOn w:val="Normal"/>
    <w:uiPriority w:val="34"/>
    <w:qFormat/>
    <w:rsid w:val="008F54D1"/>
    <w:pPr>
      <w:ind w:left="720"/>
      <w:contextualSpacing/>
    </w:pPr>
  </w:style>
  <w:style w:type="character" w:styleId="IntenseEmphasis">
    <w:name w:val="Intense Emphasis"/>
    <w:basedOn w:val="DefaultParagraphFont"/>
    <w:uiPriority w:val="21"/>
    <w:qFormat/>
    <w:rsid w:val="008F54D1"/>
    <w:rPr>
      <w:i/>
      <w:iCs/>
      <w:color w:val="0F4761" w:themeColor="accent1" w:themeShade="BF"/>
    </w:rPr>
  </w:style>
  <w:style w:type="paragraph" w:styleId="IntenseQuote">
    <w:name w:val="Intense Quote"/>
    <w:basedOn w:val="Normal"/>
    <w:next w:val="Normal"/>
    <w:link w:val="IntenseQuoteChar"/>
    <w:uiPriority w:val="30"/>
    <w:qFormat/>
    <w:rsid w:val="008F5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4D1"/>
    <w:rPr>
      <w:i/>
      <w:iCs/>
      <w:color w:val="0F4761" w:themeColor="accent1" w:themeShade="BF"/>
    </w:rPr>
  </w:style>
  <w:style w:type="character" w:styleId="IntenseReference">
    <w:name w:val="Intense Reference"/>
    <w:basedOn w:val="DefaultParagraphFont"/>
    <w:uiPriority w:val="32"/>
    <w:qFormat/>
    <w:rsid w:val="008F54D1"/>
    <w:rPr>
      <w:b/>
      <w:bCs/>
      <w:smallCaps/>
      <w:color w:val="0F4761" w:themeColor="accent1" w:themeShade="BF"/>
      <w:spacing w:val="5"/>
    </w:rPr>
  </w:style>
  <w:style w:type="character" w:styleId="Hyperlink">
    <w:name w:val="Hyperlink"/>
    <w:basedOn w:val="DefaultParagraphFont"/>
    <w:uiPriority w:val="99"/>
    <w:unhideWhenUsed/>
    <w:rsid w:val="008F54D1"/>
    <w:rPr>
      <w:color w:val="0000FF"/>
      <w:u w:val="single"/>
    </w:rPr>
  </w:style>
  <w:style w:type="paragraph" w:styleId="NormalWeb">
    <w:name w:val="Normal (Web)"/>
    <w:basedOn w:val="Normal"/>
    <w:uiPriority w:val="99"/>
    <w:semiHidden/>
    <w:unhideWhenUsed/>
    <w:rsid w:val="008F54D1"/>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8F54D1"/>
    <w:rPr>
      <w:sz w:val="20"/>
      <w:szCs w:val="20"/>
    </w:rPr>
  </w:style>
  <w:style w:type="character" w:customStyle="1" w:styleId="FootnoteTextChar">
    <w:name w:val="Footnote Text Char"/>
    <w:basedOn w:val="DefaultParagraphFont"/>
    <w:link w:val="FootnoteText"/>
    <w:uiPriority w:val="99"/>
    <w:semiHidden/>
    <w:rsid w:val="008F54D1"/>
    <w:rPr>
      <w:sz w:val="20"/>
      <w:szCs w:val="20"/>
    </w:rPr>
  </w:style>
  <w:style w:type="character" w:styleId="FootnoteReference">
    <w:name w:val="footnote reference"/>
    <w:basedOn w:val="DefaultParagraphFont"/>
    <w:uiPriority w:val="99"/>
    <w:semiHidden/>
    <w:unhideWhenUsed/>
    <w:rsid w:val="008F54D1"/>
    <w:rPr>
      <w:vertAlign w:val="superscript"/>
    </w:rPr>
  </w:style>
  <w:style w:type="character" w:styleId="UnresolvedMention">
    <w:name w:val="Unresolved Mention"/>
    <w:basedOn w:val="DefaultParagraphFont"/>
    <w:uiPriority w:val="99"/>
    <w:semiHidden/>
    <w:unhideWhenUsed/>
    <w:rsid w:val="008F54D1"/>
    <w:rPr>
      <w:color w:val="605E5C"/>
      <w:shd w:val="clear" w:color="auto" w:fill="E1DFDD"/>
    </w:rPr>
  </w:style>
  <w:style w:type="character" w:styleId="FollowedHyperlink">
    <w:name w:val="FollowedHyperlink"/>
    <w:basedOn w:val="DefaultParagraphFont"/>
    <w:uiPriority w:val="99"/>
    <w:semiHidden/>
    <w:unhideWhenUsed/>
    <w:rsid w:val="00EA6AD3"/>
    <w:rPr>
      <w:color w:val="96607D" w:themeColor="followedHyperlink"/>
      <w:u w:val="single"/>
    </w:rPr>
  </w:style>
  <w:style w:type="paragraph" w:styleId="EndnoteText">
    <w:name w:val="endnote text"/>
    <w:basedOn w:val="Normal"/>
    <w:link w:val="EndnoteTextChar"/>
    <w:uiPriority w:val="99"/>
    <w:semiHidden/>
    <w:unhideWhenUsed/>
    <w:rsid w:val="004739A9"/>
    <w:rPr>
      <w:sz w:val="20"/>
      <w:szCs w:val="20"/>
    </w:rPr>
  </w:style>
  <w:style w:type="character" w:customStyle="1" w:styleId="EndnoteTextChar">
    <w:name w:val="Endnote Text Char"/>
    <w:basedOn w:val="DefaultParagraphFont"/>
    <w:link w:val="EndnoteText"/>
    <w:uiPriority w:val="99"/>
    <w:semiHidden/>
    <w:rsid w:val="004739A9"/>
    <w:rPr>
      <w:sz w:val="20"/>
      <w:szCs w:val="20"/>
    </w:rPr>
  </w:style>
  <w:style w:type="character" w:styleId="EndnoteReference">
    <w:name w:val="endnote reference"/>
    <w:basedOn w:val="DefaultParagraphFont"/>
    <w:uiPriority w:val="99"/>
    <w:semiHidden/>
    <w:unhideWhenUsed/>
    <w:rsid w:val="004739A9"/>
    <w:rPr>
      <w:vertAlign w:val="superscript"/>
    </w:rPr>
  </w:style>
  <w:style w:type="paragraph" w:styleId="Header">
    <w:name w:val="header"/>
    <w:basedOn w:val="Normal"/>
    <w:link w:val="HeaderChar"/>
    <w:uiPriority w:val="99"/>
    <w:unhideWhenUsed/>
    <w:rsid w:val="008439C2"/>
    <w:pPr>
      <w:tabs>
        <w:tab w:val="center" w:pos="4680"/>
        <w:tab w:val="right" w:pos="9360"/>
      </w:tabs>
    </w:pPr>
  </w:style>
  <w:style w:type="character" w:customStyle="1" w:styleId="HeaderChar">
    <w:name w:val="Header Char"/>
    <w:basedOn w:val="DefaultParagraphFont"/>
    <w:link w:val="Header"/>
    <w:uiPriority w:val="99"/>
    <w:rsid w:val="008439C2"/>
  </w:style>
  <w:style w:type="paragraph" w:styleId="Footer">
    <w:name w:val="footer"/>
    <w:basedOn w:val="Normal"/>
    <w:link w:val="FooterChar"/>
    <w:uiPriority w:val="99"/>
    <w:unhideWhenUsed/>
    <w:rsid w:val="008439C2"/>
    <w:pPr>
      <w:tabs>
        <w:tab w:val="center" w:pos="4680"/>
        <w:tab w:val="right" w:pos="9360"/>
      </w:tabs>
    </w:pPr>
  </w:style>
  <w:style w:type="character" w:customStyle="1" w:styleId="FooterChar">
    <w:name w:val="Footer Char"/>
    <w:basedOn w:val="DefaultParagraphFont"/>
    <w:link w:val="Footer"/>
    <w:uiPriority w:val="99"/>
    <w:rsid w:val="0084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15200">
      <w:bodyDiv w:val="1"/>
      <w:marLeft w:val="0"/>
      <w:marRight w:val="0"/>
      <w:marTop w:val="0"/>
      <w:marBottom w:val="0"/>
      <w:divBdr>
        <w:top w:val="none" w:sz="0" w:space="0" w:color="auto"/>
        <w:left w:val="none" w:sz="0" w:space="0" w:color="auto"/>
        <w:bottom w:val="none" w:sz="0" w:space="0" w:color="auto"/>
        <w:right w:val="none" w:sz="0" w:space="0" w:color="auto"/>
      </w:divBdr>
      <w:divsChild>
        <w:div w:id="1249771626">
          <w:marLeft w:val="0"/>
          <w:marRight w:val="0"/>
          <w:marTop w:val="0"/>
          <w:marBottom w:val="0"/>
          <w:divBdr>
            <w:top w:val="none" w:sz="0" w:space="0" w:color="auto"/>
            <w:left w:val="none" w:sz="0" w:space="0" w:color="auto"/>
            <w:bottom w:val="none" w:sz="0" w:space="0" w:color="auto"/>
            <w:right w:val="none" w:sz="0" w:space="0" w:color="auto"/>
          </w:divBdr>
        </w:div>
        <w:div w:id="2032677905">
          <w:marLeft w:val="0"/>
          <w:marRight w:val="0"/>
          <w:marTop w:val="0"/>
          <w:marBottom w:val="0"/>
          <w:divBdr>
            <w:top w:val="none" w:sz="0" w:space="0" w:color="auto"/>
            <w:left w:val="none" w:sz="0" w:space="0" w:color="auto"/>
            <w:bottom w:val="none" w:sz="0" w:space="0" w:color="auto"/>
            <w:right w:val="none" w:sz="0" w:space="0" w:color="auto"/>
          </w:divBdr>
        </w:div>
        <w:div w:id="26294915">
          <w:marLeft w:val="0"/>
          <w:marRight w:val="0"/>
          <w:marTop w:val="0"/>
          <w:marBottom w:val="0"/>
          <w:divBdr>
            <w:top w:val="none" w:sz="0" w:space="0" w:color="auto"/>
            <w:left w:val="none" w:sz="0" w:space="0" w:color="auto"/>
            <w:bottom w:val="none" w:sz="0" w:space="0" w:color="auto"/>
            <w:right w:val="none" w:sz="0" w:space="0" w:color="auto"/>
          </w:divBdr>
        </w:div>
        <w:div w:id="1254390056">
          <w:marLeft w:val="0"/>
          <w:marRight w:val="0"/>
          <w:marTop w:val="0"/>
          <w:marBottom w:val="0"/>
          <w:divBdr>
            <w:top w:val="none" w:sz="0" w:space="0" w:color="auto"/>
            <w:left w:val="none" w:sz="0" w:space="0" w:color="auto"/>
            <w:bottom w:val="none" w:sz="0" w:space="0" w:color="auto"/>
            <w:right w:val="none" w:sz="0" w:space="0" w:color="auto"/>
          </w:divBdr>
        </w:div>
        <w:div w:id="595134587">
          <w:marLeft w:val="0"/>
          <w:marRight w:val="0"/>
          <w:marTop w:val="0"/>
          <w:marBottom w:val="0"/>
          <w:divBdr>
            <w:top w:val="none" w:sz="0" w:space="0" w:color="auto"/>
            <w:left w:val="none" w:sz="0" w:space="0" w:color="auto"/>
            <w:bottom w:val="none" w:sz="0" w:space="0" w:color="auto"/>
            <w:right w:val="none" w:sz="0" w:space="0" w:color="auto"/>
          </w:divBdr>
        </w:div>
        <w:div w:id="1389721895">
          <w:marLeft w:val="0"/>
          <w:marRight w:val="0"/>
          <w:marTop w:val="0"/>
          <w:marBottom w:val="0"/>
          <w:divBdr>
            <w:top w:val="none" w:sz="0" w:space="0" w:color="auto"/>
            <w:left w:val="none" w:sz="0" w:space="0" w:color="auto"/>
            <w:bottom w:val="none" w:sz="0" w:space="0" w:color="auto"/>
            <w:right w:val="none" w:sz="0" w:space="0" w:color="auto"/>
          </w:divBdr>
        </w:div>
        <w:div w:id="86658244">
          <w:marLeft w:val="0"/>
          <w:marRight w:val="0"/>
          <w:marTop w:val="0"/>
          <w:marBottom w:val="0"/>
          <w:divBdr>
            <w:top w:val="none" w:sz="0" w:space="0" w:color="auto"/>
            <w:left w:val="none" w:sz="0" w:space="0" w:color="auto"/>
            <w:bottom w:val="none" w:sz="0" w:space="0" w:color="auto"/>
            <w:right w:val="none" w:sz="0" w:space="0" w:color="auto"/>
          </w:divBdr>
        </w:div>
        <w:div w:id="628972541">
          <w:marLeft w:val="0"/>
          <w:marRight w:val="0"/>
          <w:marTop w:val="0"/>
          <w:marBottom w:val="0"/>
          <w:divBdr>
            <w:top w:val="none" w:sz="0" w:space="0" w:color="auto"/>
            <w:left w:val="none" w:sz="0" w:space="0" w:color="auto"/>
            <w:bottom w:val="none" w:sz="0" w:space="0" w:color="auto"/>
            <w:right w:val="none" w:sz="0" w:space="0" w:color="auto"/>
          </w:divBdr>
        </w:div>
        <w:div w:id="613250830">
          <w:marLeft w:val="0"/>
          <w:marRight w:val="0"/>
          <w:marTop w:val="0"/>
          <w:marBottom w:val="0"/>
          <w:divBdr>
            <w:top w:val="none" w:sz="0" w:space="0" w:color="auto"/>
            <w:left w:val="none" w:sz="0" w:space="0" w:color="auto"/>
            <w:bottom w:val="none" w:sz="0" w:space="0" w:color="auto"/>
            <w:right w:val="none" w:sz="0" w:space="0" w:color="auto"/>
          </w:divBdr>
        </w:div>
        <w:div w:id="857168">
          <w:marLeft w:val="0"/>
          <w:marRight w:val="0"/>
          <w:marTop w:val="0"/>
          <w:marBottom w:val="0"/>
          <w:divBdr>
            <w:top w:val="none" w:sz="0" w:space="0" w:color="auto"/>
            <w:left w:val="none" w:sz="0" w:space="0" w:color="auto"/>
            <w:bottom w:val="none" w:sz="0" w:space="0" w:color="auto"/>
            <w:right w:val="none" w:sz="0" w:space="0" w:color="auto"/>
          </w:divBdr>
        </w:div>
        <w:div w:id="1149322460">
          <w:marLeft w:val="0"/>
          <w:marRight w:val="0"/>
          <w:marTop w:val="0"/>
          <w:marBottom w:val="0"/>
          <w:divBdr>
            <w:top w:val="none" w:sz="0" w:space="0" w:color="auto"/>
            <w:left w:val="none" w:sz="0" w:space="0" w:color="auto"/>
            <w:bottom w:val="none" w:sz="0" w:space="0" w:color="auto"/>
            <w:right w:val="none" w:sz="0" w:space="0" w:color="auto"/>
          </w:divBdr>
        </w:div>
        <w:div w:id="1335262777">
          <w:marLeft w:val="0"/>
          <w:marRight w:val="0"/>
          <w:marTop w:val="0"/>
          <w:marBottom w:val="0"/>
          <w:divBdr>
            <w:top w:val="none" w:sz="0" w:space="0" w:color="auto"/>
            <w:left w:val="none" w:sz="0" w:space="0" w:color="auto"/>
            <w:bottom w:val="none" w:sz="0" w:space="0" w:color="auto"/>
            <w:right w:val="none" w:sz="0" w:space="0" w:color="auto"/>
          </w:divBdr>
        </w:div>
        <w:div w:id="64574634">
          <w:marLeft w:val="0"/>
          <w:marRight w:val="0"/>
          <w:marTop w:val="0"/>
          <w:marBottom w:val="0"/>
          <w:divBdr>
            <w:top w:val="none" w:sz="0" w:space="0" w:color="auto"/>
            <w:left w:val="none" w:sz="0" w:space="0" w:color="auto"/>
            <w:bottom w:val="none" w:sz="0" w:space="0" w:color="auto"/>
            <w:right w:val="none" w:sz="0" w:space="0" w:color="auto"/>
          </w:divBdr>
        </w:div>
        <w:div w:id="454912446">
          <w:marLeft w:val="0"/>
          <w:marRight w:val="0"/>
          <w:marTop w:val="0"/>
          <w:marBottom w:val="0"/>
          <w:divBdr>
            <w:top w:val="none" w:sz="0" w:space="0" w:color="auto"/>
            <w:left w:val="none" w:sz="0" w:space="0" w:color="auto"/>
            <w:bottom w:val="none" w:sz="0" w:space="0" w:color="auto"/>
            <w:right w:val="none" w:sz="0" w:space="0" w:color="auto"/>
          </w:divBdr>
        </w:div>
        <w:div w:id="1368681185">
          <w:marLeft w:val="0"/>
          <w:marRight w:val="0"/>
          <w:marTop w:val="0"/>
          <w:marBottom w:val="0"/>
          <w:divBdr>
            <w:top w:val="none" w:sz="0" w:space="0" w:color="auto"/>
            <w:left w:val="none" w:sz="0" w:space="0" w:color="auto"/>
            <w:bottom w:val="none" w:sz="0" w:space="0" w:color="auto"/>
            <w:right w:val="none" w:sz="0" w:space="0" w:color="auto"/>
          </w:divBdr>
        </w:div>
        <w:div w:id="1378697849">
          <w:marLeft w:val="0"/>
          <w:marRight w:val="0"/>
          <w:marTop w:val="0"/>
          <w:marBottom w:val="0"/>
          <w:divBdr>
            <w:top w:val="none" w:sz="0" w:space="0" w:color="auto"/>
            <w:left w:val="none" w:sz="0" w:space="0" w:color="auto"/>
            <w:bottom w:val="none" w:sz="0" w:space="0" w:color="auto"/>
            <w:right w:val="none" w:sz="0" w:space="0" w:color="auto"/>
          </w:divBdr>
        </w:div>
        <w:div w:id="621228218">
          <w:marLeft w:val="0"/>
          <w:marRight w:val="0"/>
          <w:marTop w:val="0"/>
          <w:marBottom w:val="0"/>
          <w:divBdr>
            <w:top w:val="none" w:sz="0" w:space="0" w:color="auto"/>
            <w:left w:val="none" w:sz="0" w:space="0" w:color="auto"/>
            <w:bottom w:val="none" w:sz="0" w:space="0" w:color="auto"/>
            <w:right w:val="none" w:sz="0" w:space="0" w:color="auto"/>
          </w:divBdr>
        </w:div>
        <w:div w:id="1408183586">
          <w:marLeft w:val="0"/>
          <w:marRight w:val="0"/>
          <w:marTop w:val="0"/>
          <w:marBottom w:val="0"/>
          <w:divBdr>
            <w:top w:val="none" w:sz="0" w:space="0" w:color="auto"/>
            <w:left w:val="none" w:sz="0" w:space="0" w:color="auto"/>
            <w:bottom w:val="none" w:sz="0" w:space="0" w:color="auto"/>
            <w:right w:val="none" w:sz="0" w:space="0" w:color="auto"/>
          </w:divBdr>
        </w:div>
        <w:div w:id="135535590">
          <w:marLeft w:val="0"/>
          <w:marRight w:val="0"/>
          <w:marTop w:val="0"/>
          <w:marBottom w:val="0"/>
          <w:divBdr>
            <w:top w:val="none" w:sz="0" w:space="0" w:color="auto"/>
            <w:left w:val="none" w:sz="0" w:space="0" w:color="auto"/>
            <w:bottom w:val="none" w:sz="0" w:space="0" w:color="auto"/>
            <w:right w:val="none" w:sz="0" w:space="0" w:color="auto"/>
          </w:divBdr>
        </w:div>
        <w:div w:id="1485467716">
          <w:marLeft w:val="0"/>
          <w:marRight w:val="0"/>
          <w:marTop w:val="0"/>
          <w:marBottom w:val="0"/>
          <w:divBdr>
            <w:top w:val="none" w:sz="0" w:space="0" w:color="auto"/>
            <w:left w:val="none" w:sz="0" w:space="0" w:color="auto"/>
            <w:bottom w:val="none" w:sz="0" w:space="0" w:color="auto"/>
            <w:right w:val="none" w:sz="0" w:space="0" w:color="auto"/>
          </w:divBdr>
        </w:div>
        <w:div w:id="906499761">
          <w:marLeft w:val="0"/>
          <w:marRight w:val="0"/>
          <w:marTop w:val="0"/>
          <w:marBottom w:val="0"/>
          <w:divBdr>
            <w:top w:val="none" w:sz="0" w:space="0" w:color="auto"/>
            <w:left w:val="none" w:sz="0" w:space="0" w:color="auto"/>
            <w:bottom w:val="none" w:sz="0" w:space="0" w:color="auto"/>
            <w:right w:val="none" w:sz="0" w:space="0" w:color="auto"/>
          </w:divBdr>
          <w:divsChild>
            <w:div w:id="2054846157">
              <w:marLeft w:val="0"/>
              <w:marRight w:val="0"/>
              <w:marTop w:val="0"/>
              <w:marBottom w:val="0"/>
              <w:divBdr>
                <w:top w:val="none" w:sz="0" w:space="0" w:color="auto"/>
                <w:left w:val="none" w:sz="0" w:space="0" w:color="auto"/>
                <w:bottom w:val="none" w:sz="0" w:space="0" w:color="auto"/>
                <w:right w:val="none" w:sz="0" w:space="0" w:color="auto"/>
              </w:divBdr>
              <w:divsChild>
                <w:div w:id="20148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4693062.2018.1528965" TargetMode="External"/><Relationship Id="rId13" Type="http://schemas.openxmlformats.org/officeDocument/2006/relationships/hyperlink" Target="https://feedbackgloba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edbackglobal.org/wp-content/uploads/2024/03/Feedback-2024-Still-Butchering-the-Planet-Repor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chornick@fo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pfi.org/net-zero-banking/" TargetMode="External"/><Relationship Id="rId5" Type="http://schemas.openxmlformats.org/officeDocument/2006/relationships/webSettings" Target="webSettings.xml"/><Relationship Id="rId15" Type="http://schemas.openxmlformats.org/officeDocument/2006/relationships/hyperlink" Target="https://foe.org/resources/bull-in-the-climate-shop/" TargetMode="External"/><Relationship Id="rId10" Type="http://schemas.openxmlformats.org/officeDocument/2006/relationships/hyperlink" Target="https://foe.org/wp-content/uploads/2024/04/Bull-in-the-Climate-Shop_FR_FIN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e.org/resources/bull-in-the-climate-shop/" TargetMode="External"/><Relationship Id="rId14" Type="http://schemas.openxmlformats.org/officeDocument/2006/relationships/hyperlink" Target="https://feedbackglobal.org/wp-content/uploads/2024/03/Feedback-2024-Still-Butchering-the-Planet-Report.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foe.org/resources/bull-in-the-climate-shop/" TargetMode="External"/><Relationship Id="rId3" Type="http://schemas.openxmlformats.org/officeDocument/2006/relationships/hyperlink" Target="https://doi.org/10.1126/science.aaq0216" TargetMode="External"/><Relationship Id="rId7" Type="http://schemas.openxmlformats.org/officeDocument/2006/relationships/hyperlink" Target="https://foe.org/resources/bull-in-the-climate-shop/" TargetMode="External"/><Relationship Id="rId2" Type="http://schemas.openxmlformats.org/officeDocument/2006/relationships/hyperlink" Target="https://doi.org/10.1017/S175173111700324X" TargetMode="External"/><Relationship Id="rId1" Type="http://schemas.openxmlformats.org/officeDocument/2006/relationships/hyperlink" Target="https://ourworldindata.org/soy" TargetMode="External"/><Relationship Id="rId6" Type="http://schemas.openxmlformats.org/officeDocument/2006/relationships/hyperlink" Target="https://www.climatewatchdata.org/" TargetMode="External"/><Relationship Id="rId5" Type="http://schemas.openxmlformats.org/officeDocument/2006/relationships/hyperlink" Target="https://feedbackglobal.org/wp-content/uploads/2024/03/Feedback-2024-Still-Butchering-the-Planet-Report.pdf" TargetMode="External"/><Relationship Id="rId4" Type="http://schemas.openxmlformats.org/officeDocument/2006/relationships/hyperlink" Target="https://foe.org/resources/bull-in-the-climate-shop/" TargetMode="External"/><Relationship Id="rId9" Type="http://schemas.openxmlformats.org/officeDocument/2006/relationships/hyperlink" Target="https://feedbackglobal.org/wp-content/uploads/2024/03/Feedback-2024-Still-Butchering-the-Planet-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2F40A-8850-4A79-B2EF-DB6CB751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Eryn Schornick</dc:creator>
  <cp:keywords/>
  <dc:description/>
  <cp:lastModifiedBy>Skiff, Shaye</cp:lastModifiedBy>
  <cp:revision>2</cp:revision>
  <dcterms:created xsi:type="dcterms:W3CDTF">2024-08-26T20:08:00Z</dcterms:created>
  <dcterms:modified xsi:type="dcterms:W3CDTF">2024-08-26T20:08:00Z</dcterms:modified>
</cp:coreProperties>
</file>